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7266E" w14:textId="1BB1E20A" w:rsidR="00674825" w:rsidRPr="009C58EB" w:rsidRDefault="00674825" w:rsidP="00674825">
      <w:pPr>
        <w:jc w:val="both"/>
        <w:rPr>
          <w:rFonts w:asciiTheme="minorHAnsi" w:hAnsiTheme="minorHAnsi" w:cstheme="minorHAnsi"/>
          <w:sz w:val="18"/>
          <w:szCs w:val="18"/>
        </w:rPr>
      </w:pPr>
      <w:bookmarkStart w:id="0" w:name="_Hlk185007795"/>
      <w:r w:rsidRPr="009C58EB">
        <w:rPr>
          <w:rFonts w:asciiTheme="minorHAnsi" w:hAnsiTheme="minorHAnsi" w:cstheme="minorHAnsi"/>
          <w:b/>
          <w:color w:val="C00000"/>
          <w:sz w:val="44"/>
          <w:szCs w:val="44"/>
        </w:rPr>
        <w:t>D8175</w:t>
      </w:r>
      <w:r w:rsidRPr="009C58EB">
        <w:rPr>
          <w:rFonts w:asciiTheme="minorHAnsi" w:hAnsiTheme="minorHAnsi" w:cstheme="minorHAnsi"/>
          <w:b/>
          <w:sz w:val="18"/>
          <w:szCs w:val="18"/>
        </w:rPr>
        <w:tab/>
      </w:r>
      <w:r w:rsidRPr="009C58EB">
        <w:rPr>
          <w:rFonts w:asciiTheme="minorHAnsi" w:hAnsiTheme="minorHAnsi" w:cstheme="minorHAnsi"/>
          <w:b/>
          <w:sz w:val="18"/>
          <w:szCs w:val="18"/>
        </w:rPr>
        <w:tab/>
      </w:r>
      <w:r w:rsidRPr="009C58EB">
        <w:rPr>
          <w:rFonts w:asciiTheme="minorHAnsi" w:hAnsiTheme="minorHAnsi" w:cstheme="minorHAnsi"/>
          <w:b/>
          <w:sz w:val="18"/>
          <w:szCs w:val="18"/>
        </w:rPr>
        <w:tab/>
      </w:r>
      <w:r w:rsidRPr="009C58EB">
        <w:rPr>
          <w:rFonts w:asciiTheme="minorHAnsi" w:hAnsiTheme="minorHAnsi" w:cstheme="minorHAnsi"/>
          <w:b/>
          <w:sz w:val="18"/>
          <w:szCs w:val="18"/>
        </w:rPr>
        <w:tab/>
      </w:r>
      <w:r w:rsidRPr="009C58EB">
        <w:rPr>
          <w:rFonts w:asciiTheme="minorHAnsi" w:hAnsiTheme="minorHAnsi" w:cstheme="minorHAnsi"/>
          <w:b/>
          <w:sz w:val="16"/>
          <w:szCs w:val="16"/>
        </w:rPr>
        <w:tab/>
      </w:r>
      <w:r w:rsidRPr="009C58EB">
        <w:rPr>
          <w:rFonts w:asciiTheme="minorHAnsi" w:hAnsiTheme="minorHAnsi" w:cstheme="minorHAnsi"/>
          <w:b/>
          <w:sz w:val="16"/>
          <w:szCs w:val="16"/>
        </w:rPr>
        <w:tab/>
      </w:r>
      <w:r w:rsidRPr="009C58EB">
        <w:rPr>
          <w:rFonts w:asciiTheme="minorHAnsi" w:hAnsiTheme="minorHAnsi" w:cstheme="minorHAnsi"/>
          <w:b/>
          <w:sz w:val="16"/>
          <w:szCs w:val="16"/>
        </w:rPr>
        <w:tab/>
      </w:r>
      <w:r w:rsidRPr="009C58EB">
        <w:rPr>
          <w:rFonts w:asciiTheme="minorHAnsi" w:hAnsiTheme="minorHAnsi" w:cstheme="minorHAnsi"/>
          <w:b/>
          <w:sz w:val="16"/>
          <w:szCs w:val="16"/>
        </w:rPr>
        <w:tab/>
      </w:r>
      <w:r w:rsidRPr="009C58EB">
        <w:rPr>
          <w:rFonts w:asciiTheme="minorHAnsi" w:hAnsiTheme="minorHAnsi" w:cstheme="minorHAnsi"/>
          <w:b/>
          <w:sz w:val="16"/>
          <w:szCs w:val="16"/>
        </w:rPr>
        <w:tab/>
      </w:r>
      <w:r w:rsidRPr="009C58EB">
        <w:rPr>
          <w:rFonts w:asciiTheme="minorHAnsi" w:hAnsiTheme="minorHAnsi" w:cstheme="minorHAnsi"/>
          <w:i/>
          <w:sz w:val="16"/>
          <w:szCs w:val="16"/>
        </w:rPr>
        <w:t>Scheda creata il 13 dicembre 2024</w:t>
      </w:r>
    </w:p>
    <w:bookmarkEnd w:id="0"/>
    <w:p w14:paraId="097BC925" w14:textId="41796608" w:rsidR="00674825" w:rsidRPr="009C58EB" w:rsidRDefault="009C58EB" w:rsidP="009C58EB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C58EB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3E62669B" wp14:editId="6C11D801">
            <wp:extent cx="1522800" cy="2160000"/>
            <wp:effectExtent l="0" t="0" r="1270" b="0"/>
            <wp:docPr id="808424897" name="Immagine 1" descr="Immagine che contiene testo, Carattere,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24897" name="Immagine 1" descr="Immagine che contiene testo, Carattere, giornal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25" w:rsidRPr="009C58EB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44ACE0D3" wp14:editId="03988F82">
            <wp:extent cx="1530000" cy="2160000"/>
            <wp:effectExtent l="0" t="0" r="0" b="0"/>
            <wp:docPr id="1176396704" name="Immagine 1" descr="Immagine che contiene testo, schermata, giornal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96704" name="Immagine 1" descr="Immagine che contiene testo, schermata, giornale, design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8EB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1B2735D1" wp14:editId="0EC62C7F">
            <wp:extent cx="1533600" cy="2160000"/>
            <wp:effectExtent l="0" t="0" r="0" b="0"/>
            <wp:docPr id="199417862" name="Immagine 1" descr="Immagine che contiene testo, giornale, scherma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7862" name="Immagine 1" descr="Immagine che contiene testo, giornale, schermata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175" w:rsidRPr="00045175">
        <w:rPr>
          <w:noProof/>
          <w14:ligatures w14:val="standardContextual"/>
        </w:rPr>
        <w:t xml:space="preserve"> </w:t>
      </w:r>
      <w:r w:rsidR="00045175" w:rsidRPr="00045175">
        <w:drawing>
          <wp:inline distT="0" distB="0" distL="0" distR="0" wp14:anchorId="5B00B276" wp14:editId="672E7775">
            <wp:extent cx="1216800" cy="1800000"/>
            <wp:effectExtent l="0" t="0" r="2540" b="0"/>
            <wp:docPr id="580980702" name="Immagine 1" descr="Immagine che contiene testo, poster, person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80702" name="Immagine 1" descr="Immagine che contiene testo, poster, persona, scherma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95CC" w14:textId="27A53F58" w:rsidR="00674825" w:rsidRPr="009C58EB" w:rsidRDefault="00674825" w:rsidP="0067482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85007784"/>
      <w:r w:rsidRPr="009C58E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10D0E358" w14:textId="341636E1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  <w:r w:rsidRPr="009C58EB">
        <w:rPr>
          <w:rFonts w:asciiTheme="minorHAnsi" w:hAnsiTheme="minorHAnsi" w:cstheme="minorHAnsi"/>
          <w:b/>
          <w:bCs/>
        </w:rPr>
        <w:t>*</w:t>
      </w:r>
      <w:proofErr w:type="gramStart"/>
      <w:r w:rsidRPr="009C58EB">
        <w:rPr>
          <w:rFonts w:asciiTheme="minorHAnsi" w:hAnsiTheme="minorHAnsi" w:cstheme="minorHAnsi"/>
          <w:b/>
          <w:bCs/>
        </w:rPr>
        <w:t>Viva</w:t>
      </w:r>
      <w:r w:rsidRPr="009C58EB">
        <w:rPr>
          <w:rFonts w:asciiTheme="minorHAnsi" w:hAnsiTheme="minorHAnsi" w:cstheme="minorHAnsi"/>
        </w:rPr>
        <w:t xml:space="preserve"> :</w:t>
      </w:r>
      <w:proofErr w:type="gramEnd"/>
      <w:r w:rsidRPr="009C58EB">
        <w:rPr>
          <w:rFonts w:asciiTheme="minorHAnsi" w:hAnsiTheme="minorHAnsi" w:cstheme="minorHAnsi"/>
        </w:rPr>
        <w:t xml:space="preserve"> il bollettino interno informativo di VIVANT, Associazione per la valorizzazione delle tradizioni storico nobiliari. - Anno 1, n. 1-  </w:t>
      </w:r>
      <w:proofErr w:type="gramStart"/>
      <w:r w:rsidRPr="009C58EB">
        <w:rPr>
          <w:rFonts w:asciiTheme="minorHAnsi" w:hAnsiTheme="minorHAnsi" w:cstheme="minorHAnsi"/>
        </w:rPr>
        <w:t xml:space="preserve">  .</w:t>
      </w:r>
      <w:proofErr w:type="gramEnd"/>
      <w:r w:rsidRPr="009C58EB">
        <w:rPr>
          <w:rFonts w:asciiTheme="minorHAnsi" w:hAnsiTheme="minorHAnsi" w:cstheme="minorHAnsi"/>
        </w:rPr>
        <w:t xml:space="preserve"> - </w:t>
      </w:r>
      <w:proofErr w:type="gramStart"/>
      <w:r w:rsidRPr="009C58EB">
        <w:rPr>
          <w:rFonts w:asciiTheme="minorHAnsi" w:hAnsiTheme="minorHAnsi" w:cstheme="minorHAnsi"/>
        </w:rPr>
        <w:t>Torino :</w:t>
      </w:r>
      <w:proofErr w:type="gramEnd"/>
      <w:r w:rsidRPr="009C58EB">
        <w:rPr>
          <w:rFonts w:asciiTheme="minorHAnsi" w:hAnsiTheme="minorHAnsi" w:cstheme="minorHAnsi"/>
        </w:rPr>
        <w:t xml:space="preserve"> [s. n., 199</w:t>
      </w:r>
      <w:r w:rsidR="009C58EB" w:rsidRPr="009C58EB">
        <w:rPr>
          <w:rFonts w:asciiTheme="minorHAnsi" w:hAnsiTheme="minorHAnsi" w:cstheme="minorHAnsi"/>
        </w:rPr>
        <w:t>6</w:t>
      </w:r>
      <w:r w:rsidRPr="009C58EB">
        <w:rPr>
          <w:rFonts w:asciiTheme="minorHAnsi" w:hAnsiTheme="minorHAnsi" w:cstheme="minorHAnsi"/>
        </w:rPr>
        <w:t xml:space="preserve">]-    . - </w:t>
      </w:r>
      <w:proofErr w:type="gramStart"/>
      <w:r w:rsidRPr="009C58EB">
        <w:rPr>
          <w:rFonts w:asciiTheme="minorHAnsi" w:hAnsiTheme="minorHAnsi" w:cstheme="minorHAnsi"/>
        </w:rPr>
        <w:t>volumi :</w:t>
      </w:r>
      <w:proofErr w:type="gramEnd"/>
      <w:r w:rsidRPr="009C58EB">
        <w:rPr>
          <w:rFonts w:asciiTheme="minorHAnsi" w:hAnsiTheme="minorHAnsi" w:cstheme="minorHAnsi"/>
        </w:rPr>
        <w:t xml:space="preserve"> ill.  ((</w:t>
      </w:r>
      <w:r w:rsidR="009C58EB" w:rsidRPr="009C58EB">
        <w:rPr>
          <w:rFonts w:asciiTheme="minorHAnsi" w:hAnsiTheme="minorHAnsi" w:cstheme="minorHAnsi"/>
        </w:rPr>
        <w:t>Mensile irregolare</w:t>
      </w:r>
      <w:r w:rsidRPr="009C58EB">
        <w:rPr>
          <w:rFonts w:asciiTheme="minorHAnsi" w:hAnsiTheme="minorHAnsi" w:cstheme="minorHAnsi"/>
        </w:rPr>
        <w:t>. - CFI0334612</w:t>
      </w:r>
    </w:p>
    <w:p w14:paraId="38AE7100" w14:textId="70758AFE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  <w:r w:rsidRPr="009C58EB">
        <w:rPr>
          <w:rFonts w:asciiTheme="minorHAnsi" w:hAnsiTheme="minorHAnsi" w:cstheme="minorHAnsi"/>
          <w:b/>
          <w:bCs/>
          <w:color w:val="C00000"/>
        </w:rPr>
        <w:t>Copia digitale</w:t>
      </w:r>
      <w:r w:rsidRPr="009C58EB">
        <w:rPr>
          <w:rFonts w:asciiTheme="minorHAnsi" w:hAnsiTheme="minorHAnsi" w:cstheme="minorHAnsi"/>
        </w:rPr>
        <w:t xml:space="preserve">: </w:t>
      </w:r>
      <w:hyperlink r:id="rId9" w:history="1">
        <w:r w:rsidR="009C58EB" w:rsidRPr="009C58EB">
          <w:rPr>
            <w:rStyle w:val="Collegamentoipertestuale"/>
            <w:rFonts w:asciiTheme="minorHAnsi" w:hAnsiTheme="minorHAnsi" w:cstheme="minorHAnsi"/>
          </w:rPr>
          <w:t>1996-</w:t>
        </w:r>
      </w:hyperlink>
    </w:p>
    <w:p w14:paraId="6D583B78" w14:textId="77777777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</w:p>
    <w:p w14:paraId="21020CED" w14:textId="673DFA68" w:rsidR="009C58EB" w:rsidRPr="009C58EB" w:rsidRDefault="009C58EB" w:rsidP="00674825">
      <w:pPr>
        <w:jc w:val="both"/>
        <w:rPr>
          <w:rFonts w:asciiTheme="minorHAnsi" w:hAnsiTheme="minorHAnsi" w:cstheme="minorHAnsi"/>
        </w:rPr>
      </w:pPr>
      <w:r w:rsidRPr="009C58EB">
        <w:rPr>
          <w:rFonts w:asciiTheme="minorHAnsi" w:hAnsiTheme="minorHAnsi" w:cstheme="minorHAnsi"/>
        </w:rPr>
        <w:t>*</w:t>
      </w:r>
      <w:r w:rsidRPr="009C58EB">
        <w:rPr>
          <w:rFonts w:asciiTheme="minorHAnsi" w:hAnsiTheme="minorHAnsi" w:cstheme="minorHAnsi"/>
          <w:b/>
          <w:bCs/>
        </w:rPr>
        <w:t>Viva.</w:t>
      </w:r>
      <w:r w:rsidRPr="009C58EB">
        <w:rPr>
          <w:rFonts w:asciiTheme="minorHAnsi" w:hAnsiTheme="minorHAnsi" w:cstheme="minorHAnsi"/>
        </w:rPr>
        <w:t xml:space="preserve"> - A</w:t>
      </w:r>
      <w:r w:rsidRPr="009C58EB">
        <w:rPr>
          <w:rFonts w:asciiTheme="minorHAnsi" w:hAnsiTheme="minorHAnsi" w:cstheme="minorHAnsi"/>
        </w:rPr>
        <w:t>nno</w:t>
      </w:r>
      <w:r w:rsidRPr="009C58EB">
        <w:rPr>
          <w:rFonts w:asciiTheme="minorHAnsi" w:hAnsiTheme="minorHAnsi" w:cstheme="minorHAnsi"/>
        </w:rPr>
        <w:t xml:space="preserve"> 1, n. 1 (primavera-estate </w:t>
      </w:r>
      <w:proofErr w:type="gramStart"/>
      <w:r w:rsidRPr="009C58EB">
        <w:rPr>
          <w:rFonts w:asciiTheme="minorHAnsi" w:hAnsiTheme="minorHAnsi" w:cstheme="minorHAnsi"/>
        </w:rPr>
        <w:t>1997)-</w:t>
      </w:r>
      <w:proofErr w:type="gramEnd"/>
      <w:r w:rsidRPr="009C58EB">
        <w:rPr>
          <w:rFonts w:asciiTheme="minorHAnsi" w:hAnsiTheme="minorHAnsi" w:cstheme="minorHAnsi"/>
        </w:rPr>
        <w:t xml:space="preserve">    </w:t>
      </w:r>
      <w:r w:rsidRPr="009C58EB">
        <w:rPr>
          <w:rFonts w:asciiTheme="minorHAnsi" w:hAnsiTheme="minorHAnsi" w:cstheme="minorHAnsi"/>
        </w:rPr>
        <w:t xml:space="preserve">. - </w:t>
      </w:r>
      <w:proofErr w:type="gramStart"/>
      <w:r w:rsidRPr="009C58EB">
        <w:rPr>
          <w:rFonts w:asciiTheme="minorHAnsi" w:hAnsiTheme="minorHAnsi" w:cstheme="minorHAnsi"/>
        </w:rPr>
        <w:t>Torino :</w:t>
      </w:r>
      <w:proofErr w:type="gramEnd"/>
      <w:r w:rsidRPr="009C58EB">
        <w:rPr>
          <w:rFonts w:asciiTheme="minorHAnsi" w:hAnsiTheme="minorHAnsi" w:cstheme="minorHAnsi"/>
        </w:rPr>
        <w:t xml:space="preserve"> </w:t>
      </w:r>
      <w:r w:rsidRPr="009C58EB">
        <w:rPr>
          <w:rFonts w:asciiTheme="minorHAnsi" w:hAnsiTheme="minorHAnsi" w:cstheme="minorHAnsi"/>
        </w:rPr>
        <w:t>[</w:t>
      </w:r>
      <w:r w:rsidRPr="009C58EB">
        <w:rPr>
          <w:rFonts w:asciiTheme="minorHAnsi" w:hAnsiTheme="minorHAnsi" w:cstheme="minorHAnsi"/>
        </w:rPr>
        <w:t>s. n., 1997</w:t>
      </w:r>
      <w:r w:rsidRPr="009C58EB">
        <w:rPr>
          <w:rFonts w:asciiTheme="minorHAnsi" w:hAnsiTheme="minorHAnsi" w:cstheme="minorHAnsi"/>
        </w:rPr>
        <w:t>]</w:t>
      </w:r>
      <w:r w:rsidRPr="009C58EB">
        <w:rPr>
          <w:rFonts w:asciiTheme="minorHAnsi" w:hAnsiTheme="minorHAnsi" w:cstheme="minorHAnsi"/>
        </w:rPr>
        <w:t xml:space="preserve">. </w:t>
      </w:r>
      <w:r w:rsidRPr="009C58EB">
        <w:rPr>
          <w:rFonts w:asciiTheme="minorHAnsi" w:hAnsiTheme="minorHAnsi" w:cstheme="minorHAnsi"/>
        </w:rPr>
        <w:t>–</w:t>
      </w:r>
      <w:r w:rsidRPr="009C58EB">
        <w:rPr>
          <w:rFonts w:asciiTheme="minorHAnsi" w:hAnsiTheme="minorHAnsi" w:cstheme="minorHAnsi"/>
        </w:rPr>
        <w:t xml:space="preserve"> </w:t>
      </w:r>
      <w:r w:rsidRPr="009C58EB">
        <w:rPr>
          <w:rFonts w:asciiTheme="minorHAnsi" w:hAnsiTheme="minorHAnsi" w:cstheme="minorHAnsi"/>
        </w:rPr>
        <w:t xml:space="preserve">1 </w:t>
      </w:r>
      <w:proofErr w:type="gramStart"/>
      <w:r w:rsidRPr="009C58EB">
        <w:rPr>
          <w:rFonts w:asciiTheme="minorHAnsi" w:hAnsiTheme="minorHAnsi" w:cstheme="minorHAnsi"/>
        </w:rPr>
        <w:t>v</w:t>
      </w:r>
      <w:r w:rsidRPr="009C58EB">
        <w:rPr>
          <w:rFonts w:asciiTheme="minorHAnsi" w:hAnsiTheme="minorHAnsi" w:cstheme="minorHAnsi"/>
        </w:rPr>
        <w:t>olume</w:t>
      </w:r>
      <w:r w:rsidRPr="009C58EB">
        <w:rPr>
          <w:rFonts w:asciiTheme="minorHAnsi" w:hAnsiTheme="minorHAnsi" w:cstheme="minorHAnsi"/>
        </w:rPr>
        <w:t xml:space="preserve"> :</w:t>
      </w:r>
      <w:proofErr w:type="gramEnd"/>
      <w:r w:rsidRPr="009C58EB">
        <w:rPr>
          <w:rFonts w:asciiTheme="minorHAnsi" w:hAnsiTheme="minorHAnsi" w:cstheme="minorHAnsi"/>
        </w:rPr>
        <w:t xml:space="preserve"> ill. ; 32 cm. </w:t>
      </w:r>
      <w:r w:rsidRPr="009C58EB">
        <w:rPr>
          <w:rFonts w:asciiTheme="minorHAnsi" w:hAnsiTheme="minorHAnsi" w:cstheme="minorHAnsi"/>
        </w:rPr>
        <w:t>((</w:t>
      </w:r>
      <w:r w:rsidRPr="009C58EB">
        <w:rPr>
          <w:rFonts w:asciiTheme="minorHAnsi" w:hAnsiTheme="minorHAnsi" w:cstheme="minorHAnsi"/>
        </w:rPr>
        <w:t>Semestrale</w:t>
      </w:r>
      <w:r w:rsidRPr="009C58EB">
        <w:rPr>
          <w:rFonts w:asciiTheme="minorHAnsi" w:hAnsiTheme="minorHAnsi" w:cstheme="minorHAnsi"/>
        </w:rPr>
        <w:t xml:space="preserve">. - </w:t>
      </w:r>
      <w:r w:rsidRPr="009C58EB">
        <w:rPr>
          <w:rFonts w:asciiTheme="minorHAnsi" w:hAnsiTheme="minorHAnsi" w:cstheme="minorHAnsi"/>
        </w:rPr>
        <w:t>CFI0334612</w:t>
      </w:r>
      <w:r w:rsidRPr="009C58EB">
        <w:rPr>
          <w:rFonts w:asciiTheme="minorHAnsi" w:hAnsiTheme="minorHAnsi" w:cstheme="minorHAnsi"/>
        </w:rPr>
        <w:t xml:space="preserve"> </w:t>
      </w:r>
    </w:p>
    <w:p w14:paraId="099DCE28" w14:textId="77777777" w:rsidR="009C58EB" w:rsidRPr="009C58EB" w:rsidRDefault="009C58EB" w:rsidP="00674825">
      <w:pPr>
        <w:jc w:val="both"/>
        <w:rPr>
          <w:rFonts w:asciiTheme="minorHAnsi" w:hAnsiTheme="minorHAnsi" w:cstheme="minorHAnsi"/>
        </w:rPr>
      </w:pPr>
    </w:p>
    <w:p w14:paraId="29412BF9" w14:textId="66B6B07E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  <w:r w:rsidRPr="009C58EB">
        <w:rPr>
          <w:rFonts w:asciiTheme="minorHAnsi" w:hAnsiTheme="minorHAnsi" w:cstheme="minorHAnsi"/>
        </w:rPr>
        <w:t>I *</w:t>
      </w:r>
      <w:r w:rsidRPr="009C58EB">
        <w:rPr>
          <w:rFonts w:asciiTheme="minorHAnsi" w:hAnsiTheme="minorHAnsi" w:cstheme="minorHAnsi"/>
          <w:b/>
        </w:rPr>
        <w:t>quaderni di Vivant.</w:t>
      </w:r>
      <w:r w:rsidRPr="009C58EB">
        <w:rPr>
          <w:rFonts w:asciiTheme="minorHAnsi" w:hAnsiTheme="minorHAnsi" w:cstheme="minorHAnsi"/>
        </w:rPr>
        <w:t xml:space="preserve"> - Anno 1, n. 1 (gennaio </w:t>
      </w:r>
      <w:proofErr w:type="gramStart"/>
      <w:r w:rsidRPr="009C58EB">
        <w:rPr>
          <w:rFonts w:asciiTheme="minorHAnsi" w:hAnsiTheme="minorHAnsi" w:cstheme="minorHAnsi"/>
        </w:rPr>
        <w:t>2008)-</w:t>
      </w:r>
      <w:proofErr w:type="gramEnd"/>
      <w:r w:rsidRPr="009C58EB">
        <w:rPr>
          <w:rFonts w:asciiTheme="minorHAnsi" w:hAnsiTheme="minorHAnsi" w:cstheme="minorHAnsi"/>
        </w:rPr>
        <w:t xml:space="preserve">anno 2, n. 2 (novembre 2009). – </w:t>
      </w:r>
      <w:proofErr w:type="gramStart"/>
      <w:r w:rsidRPr="009C58EB">
        <w:rPr>
          <w:rFonts w:asciiTheme="minorHAnsi" w:hAnsiTheme="minorHAnsi" w:cstheme="minorHAnsi"/>
        </w:rPr>
        <w:t>Torino :</w:t>
      </w:r>
      <w:proofErr w:type="gramEnd"/>
      <w:r w:rsidRPr="009C58EB">
        <w:rPr>
          <w:rFonts w:asciiTheme="minorHAnsi" w:hAnsiTheme="minorHAnsi" w:cstheme="minorHAnsi"/>
        </w:rPr>
        <w:t xml:space="preserve"> Omega ; Vivant, [2008-2009]. – 2 </w:t>
      </w:r>
      <w:proofErr w:type="gramStart"/>
      <w:r w:rsidRPr="009C58EB">
        <w:rPr>
          <w:rFonts w:asciiTheme="minorHAnsi" w:hAnsiTheme="minorHAnsi" w:cstheme="minorHAnsi"/>
        </w:rPr>
        <w:t>volumi :</w:t>
      </w:r>
      <w:proofErr w:type="gramEnd"/>
      <w:r w:rsidRPr="009C58EB">
        <w:rPr>
          <w:rFonts w:asciiTheme="minorHAnsi" w:hAnsiTheme="minorHAnsi" w:cstheme="minorHAnsi"/>
        </w:rPr>
        <w:t xml:space="preserve"> ill. ; 21 cm. ((Annuale. - A carattere monografico. - BVE0464632</w:t>
      </w:r>
    </w:p>
    <w:p w14:paraId="3F37728C" w14:textId="77777777" w:rsidR="00674825" w:rsidRPr="009C58EB" w:rsidRDefault="00674825" w:rsidP="00674825">
      <w:pPr>
        <w:jc w:val="both"/>
        <w:rPr>
          <w:rFonts w:asciiTheme="minorHAnsi" w:hAnsiTheme="minorHAnsi" w:cstheme="minorHAnsi"/>
          <w:color w:val="000000"/>
        </w:rPr>
      </w:pPr>
      <w:r w:rsidRPr="009C58EB">
        <w:rPr>
          <w:rFonts w:asciiTheme="minorHAnsi" w:hAnsiTheme="minorHAnsi" w:cstheme="minorHAnsi"/>
          <w:color w:val="000000"/>
        </w:rPr>
        <w:t>Comprende:</w:t>
      </w:r>
    </w:p>
    <w:p w14:paraId="4D3243CB" w14:textId="77777777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  <w:r w:rsidRPr="009C58EB">
        <w:rPr>
          <w:rFonts w:asciiTheme="minorHAnsi" w:hAnsiTheme="minorHAnsi" w:cstheme="minorHAnsi"/>
        </w:rPr>
        <w:t xml:space="preserve">*Mobili </w:t>
      </w:r>
      <w:proofErr w:type="gramStart"/>
      <w:r w:rsidRPr="009C58EB">
        <w:rPr>
          <w:rFonts w:asciiTheme="minorHAnsi" w:hAnsiTheme="minorHAnsi" w:cstheme="minorHAnsi"/>
        </w:rPr>
        <w:t>araldici ;</w:t>
      </w:r>
      <w:proofErr w:type="gramEnd"/>
      <w:r w:rsidRPr="009C58EB">
        <w:rPr>
          <w:rFonts w:asciiTheme="minorHAnsi" w:hAnsiTheme="minorHAnsi" w:cstheme="minorHAnsi"/>
        </w:rPr>
        <w:t xml:space="preserve"> Il funerale more </w:t>
      </w:r>
      <w:proofErr w:type="spellStart"/>
      <w:r w:rsidRPr="009C58EB">
        <w:rPr>
          <w:rFonts w:asciiTheme="minorHAnsi" w:hAnsiTheme="minorHAnsi" w:cstheme="minorHAnsi"/>
        </w:rPr>
        <w:t>nobilium</w:t>
      </w:r>
      <w:proofErr w:type="spellEnd"/>
      <w:r w:rsidRPr="009C58EB">
        <w:rPr>
          <w:rFonts w:asciiTheme="minorHAnsi" w:hAnsiTheme="minorHAnsi" w:cstheme="minorHAnsi"/>
        </w:rPr>
        <w:t xml:space="preserve"> (1/2008);</w:t>
      </w:r>
    </w:p>
    <w:p w14:paraId="1C5FA1E8" w14:textId="77777777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  <w:r w:rsidRPr="009C58EB">
        <w:rPr>
          <w:rFonts w:asciiTheme="minorHAnsi" w:hAnsiTheme="minorHAnsi" w:cstheme="minorHAnsi"/>
        </w:rPr>
        <w:t xml:space="preserve">Un *primato piemontese in </w:t>
      </w:r>
      <w:proofErr w:type="gramStart"/>
      <w:r w:rsidRPr="009C58EB">
        <w:rPr>
          <w:rFonts w:asciiTheme="minorHAnsi" w:hAnsiTheme="minorHAnsi" w:cstheme="minorHAnsi"/>
        </w:rPr>
        <w:t>Europa :</w:t>
      </w:r>
      <w:proofErr w:type="gramEnd"/>
      <w:r w:rsidRPr="009C58EB">
        <w:rPr>
          <w:rFonts w:asciiTheme="minorHAnsi" w:hAnsiTheme="minorHAnsi" w:cstheme="minorHAnsi"/>
        </w:rPr>
        <w:t xml:space="preserve"> Venaria e la Cavalleria sabauda alla vigilia del Risorgimento / Gustavo Mola Di Nomaglio, Roberto Sandri Giachino (2/2009)</w:t>
      </w:r>
    </w:p>
    <w:p w14:paraId="7C27D2B4" w14:textId="77777777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</w:p>
    <w:p w14:paraId="2891033F" w14:textId="77777777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  <w:r w:rsidRPr="009C58EB">
        <w:rPr>
          <w:rFonts w:asciiTheme="minorHAnsi" w:hAnsiTheme="minorHAnsi" w:cstheme="minorHAnsi"/>
        </w:rPr>
        <w:t xml:space="preserve">Autore: </w:t>
      </w:r>
      <w:r w:rsidRPr="009C58EB">
        <w:rPr>
          <w:rFonts w:asciiTheme="minorHAnsi" w:hAnsiTheme="minorHAnsi" w:cstheme="minorHAnsi"/>
          <w:color w:val="000000"/>
        </w:rPr>
        <w:t>Vivant</w:t>
      </w:r>
    </w:p>
    <w:p w14:paraId="5E365955" w14:textId="77777777" w:rsidR="00674825" w:rsidRPr="009C58EB" w:rsidRDefault="00674825" w:rsidP="00674825">
      <w:pPr>
        <w:jc w:val="both"/>
        <w:rPr>
          <w:rFonts w:asciiTheme="minorHAnsi" w:hAnsiTheme="minorHAnsi" w:cstheme="minorHAnsi"/>
        </w:rPr>
      </w:pPr>
      <w:r w:rsidRPr="009C58EB">
        <w:rPr>
          <w:rFonts w:asciiTheme="minorHAnsi" w:hAnsiTheme="minorHAnsi" w:cstheme="minorHAnsi"/>
        </w:rPr>
        <w:t xml:space="preserve">Soggetto: </w:t>
      </w:r>
      <w:r w:rsidRPr="009C58EB">
        <w:rPr>
          <w:rFonts w:asciiTheme="minorHAnsi" w:hAnsiTheme="minorHAnsi" w:cstheme="minorHAnsi"/>
          <w:color w:val="000000"/>
        </w:rPr>
        <w:t xml:space="preserve">Nobili - Italia - Storia - Periodici </w:t>
      </w:r>
    </w:p>
    <w:p w14:paraId="660DFCBA" w14:textId="77777777" w:rsidR="00674825" w:rsidRDefault="00674825" w:rsidP="00674825">
      <w:pPr>
        <w:jc w:val="both"/>
        <w:rPr>
          <w:rFonts w:asciiTheme="minorHAnsi" w:hAnsiTheme="minorHAnsi" w:cstheme="minorHAnsi"/>
          <w:color w:val="000000"/>
        </w:rPr>
      </w:pPr>
      <w:r w:rsidRPr="009C58EB">
        <w:rPr>
          <w:rFonts w:asciiTheme="minorHAnsi" w:hAnsiTheme="minorHAnsi" w:cstheme="minorHAnsi"/>
        </w:rPr>
        <w:t>Classe: D</w:t>
      </w:r>
      <w:r w:rsidRPr="009C58EB">
        <w:rPr>
          <w:rFonts w:asciiTheme="minorHAnsi" w:hAnsiTheme="minorHAnsi" w:cstheme="minorHAnsi"/>
          <w:color w:val="000000"/>
        </w:rPr>
        <w:t>929.7505</w:t>
      </w:r>
    </w:p>
    <w:p w14:paraId="737C3F41" w14:textId="77777777" w:rsidR="009C58EB" w:rsidRDefault="009C58EB" w:rsidP="00674825">
      <w:pPr>
        <w:jc w:val="both"/>
        <w:rPr>
          <w:rFonts w:asciiTheme="minorHAnsi" w:hAnsiTheme="minorHAnsi" w:cstheme="minorHAnsi"/>
          <w:color w:val="000000"/>
        </w:rPr>
      </w:pPr>
    </w:p>
    <w:p w14:paraId="3ACC80D4" w14:textId="70CC2DD7" w:rsidR="009C58EB" w:rsidRPr="009C58EB" w:rsidRDefault="009C58EB" w:rsidP="0067482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C58EB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FAB5FB1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L‘Associazione, costituita nel 1995, ritiene che il ruolo dell’Aristocrazia non debba considerarsi esaurito e che questa possa, ancor oggi, nella complessiva crisi di valori che coinvolge la società contemporanea, rivestire un ruolo specifico e non facilmente sostituibile, ricollegandosi idealmente alla grande operosità dei ceti dirigenti passati.</w:t>
      </w:r>
    </w:p>
    <w:p w14:paraId="2C82E52A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L’Associazione si prefigge lo scopo di far conoscere e valorizzare il positivo ruolo della Nobiltà e delle sue tradizioni storiche.</w:t>
      </w:r>
    </w:p>
    <w:p w14:paraId="349E4A42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Per il raggiungimento dello scopo prefisso e nell’intento di agire a favore di tutta la collettività, l’Associazione si propone di:</w:t>
      </w:r>
    </w:p>
    <w:p w14:paraId="3793A330" w14:textId="77777777" w:rsidR="009C58EB" w:rsidRPr="009C58EB" w:rsidRDefault="009C58EB" w:rsidP="009C58EB">
      <w:pPr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promuovere l’unione di tutti coloro che condividano i valori della tradizione</w:t>
      </w:r>
    </w:p>
    <w:p w14:paraId="35E840C7" w14:textId="77777777" w:rsidR="009C58EB" w:rsidRPr="009C58EB" w:rsidRDefault="009C58EB" w:rsidP="009C58EB">
      <w:pPr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studiare e far conoscere la materia nobiliare</w:t>
      </w:r>
    </w:p>
    <w:p w14:paraId="2A09F20E" w14:textId="77777777" w:rsidR="009C58EB" w:rsidRPr="009C58EB" w:rsidRDefault="009C58EB" w:rsidP="009C58EB">
      <w:pPr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stabilire collegamenti con associazioni storiche, culturali, nobiliari ed araldiche</w:t>
      </w:r>
    </w:p>
    <w:p w14:paraId="5A97BBCE" w14:textId="77777777" w:rsidR="009C58EB" w:rsidRPr="009C58EB" w:rsidRDefault="009C58EB" w:rsidP="009C58EB">
      <w:pPr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promuovere iniziative che permettano di riscoprire il ruolo avuto dalla nobiltà nei secoli</w:t>
      </w:r>
    </w:p>
    <w:p w14:paraId="0A0CBAEF" w14:textId="77777777" w:rsidR="009C58EB" w:rsidRPr="009C58EB" w:rsidRDefault="009C58EB" w:rsidP="009C58EB">
      <w:pPr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lastRenderedPageBreak/>
        <w:t>fornire un supporto storico, giuridico ed araldico ad Enti e privati, in particolare per eventuali pubblicazioni</w:t>
      </w:r>
    </w:p>
    <w:p w14:paraId="256C2849" w14:textId="77777777" w:rsidR="009C58EB" w:rsidRPr="009C58EB" w:rsidRDefault="009C58EB" w:rsidP="009C58EB">
      <w:pPr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favorire la consultazione degli archivi familiari</w:t>
      </w:r>
    </w:p>
    <w:p w14:paraId="41523A9B" w14:textId="77777777" w:rsidR="009C58EB" w:rsidRPr="009C58EB" w:rsidRDefault="009C58EB" w:rsidP="009C58EB">
      <w:pPr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riaggregare il mondo aristocratico sui valori comuni;</w:t>
      </w:r>
    </w:p>
    <w:p w14:paraId="0A9F2E18" w14:textId="77777777" w:rsidR="009C58EB" w:rsidRPr="009C58EB" w:rsidRDefault="009C58EB" w:rsidP="009C58EB">
      <w:pPr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svolgere attività di tutela, promozione e valorizzazione dei beni di interesse artistico e storico di cui alla legge 01/06/1939 n. 1089 ivi comprese le biblioteche ed i beni di cui al D.P.R. 30/09/1963 n. 1409.</w:t>
      </w:r>
    </w:p>
    <w:p w14:paraId="17B803C5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Dal 1996 pubblica mensilmente un bollettino, inserito anche nel sito internet, destinato ai Soci ed alle persone che ne facciano richiesta, riportante i testi delle conferenze via via tenute, nonché tutte le informazioni sulla vita associativa.</w:t>
      </w:r>
    </w:p>
    <w:p w14:paraId="09756720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Nel 2004 è nata </w:t>
      </w:r>
      <w:r w:rsidRPr="009C58EB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VIVANT Roma</w:t>
      </w:r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che agisce in modo autonomo, seguendo le linee guida e l’impostazione dell’Associazione.</w:t>
      </w:r>
    </w:p>
    <w:p w14:paraId="7801DFD5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L’attività si fonda su incontri mensili, alcuni dei quali riservati ai soci, in cui vengono trattati argomenti inerenti </w:t>
      </w:r>
      <w:proofErr w:type="gramStart"/>
      <w:r w:rsidRPr="009C58EB">
        <w:rPr>
          <w:rFonts w:asciiTheme="minorHAnsi" w:hAnsiTheme="minorHAnsi" w:cstheme="minorHAnsi"/>
          <w:color w:val="000000"/>
          <w:sz w:val="20"/>
          <w:szCs w:val="20"/>
        </w:rPr>
        <w:t>i</w:t>
      </w:r>
      <w:proofErr w:type="gramEnd"/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fini istituzionali, scegliendo temi e luoghi diversi e collaborando con molti Enti ed Associazioni.</w:t>
      </w:r>
    </w:p>
    <w:p w14:paraId="7AF4EAD5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Si ricordano in particolare, tra le molte, le iniziative rivolte ad un largo pubblico, come la Mostra di fotografie “Album di famiglia” che ha consentito la documentazione e l’apertura di 5 cortili di palazzi storici torinesi; il reperimento delle opere presso collezioni private e l’allestimento con i Comuni di Mondovì e di Lugano della mostra del pittore Guido Cordero di Montezemolo; la collaborazione con il Museo Nazionale della Montagna e con l’Archivio di Stato di Torino per il reperimento di materiale privato per l’allestimento di mostre; i corsi presso il “</w:t>
      </w:r>
      <w:proofErr w:type="spellStart"/>
      <w:r w:rsidRPr="009C58EB">
        <w:rPr>
          <w:rFonts w:asciiTheme="minorHAnsi" w:hAnsiTheme="minorHAnsi" w:cstheme="minorHAnsi"/>
          <w:color w:val="000000"/>
          <w:sz w:val="20"/>
          <w:szCs w:val="20"/>
        </w:rPr>
        <w:t>Teknotre</w:t>
      </w:r>
      <w:proofErr w:type="spellEnd"/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”; gli itinerari guidati per “Torino non a caso”; l’organizzazione della mostra </w:t>
      </w:r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>“Recherche sui pittori di famiglia” presso l’Accademia Albertina di Belle Arti di Torino; l’allestimento di tavole imbandite presso la Fondazione Museo Accorsi Ometto.</w:t>
      </w:r>
    </w:p>
    <w:p w14:paraId="20E1E258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Nel 2009 ha preso il via, con la collaborazione del Sovrano Militare Ordine di Malta (Delegazione di Piemonte e Valle d’Aosta, Gran Priorato di Lombardia e Venezia), della Società Italiana di Studi Araldici e del Corpo della Nobiltà Italiana, una fondamentale attività di ricerca delle fonti araldiche subalpine, che si è articolata attraverso tre Giornate di Studio; ne sono stati pubblicati gli atti in specifici volumi.</w:t>
      </w:r>
    </w:p>
    <w:p w14:paraId="14B51247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I tre tasselli della trilogia, moderati da Fabrizio Antonielli d’Oulx, si sono svolti, il primo “L’araldica del pennino” a Torino il 17 ottobre 2009, il secondo “L’Araldica dello scalpello” il 27 novembre 2010 presso la Stanza delle Guardie di Palazzo Madama di Torino e il terzo “L’Araldica del pennello” il 26 novembre 2011 presso la torinese Regia Accademia Albertina delle Belle Arti.</w:t>
      </w:r>
    </w:p>
    <w:p w14:paraId="018AEC23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Tra le istituzioni torinesi ufficialmente rappresentate, la Reale Mutua di Assicurazione, l’Accademia Albertina delle Belle Arti, l’Archivio di Stato, l’Archivio Storico del Comune, la Soprintendenza Archivistica per il Piemonte e la Valle d’Aosta, Palazzo Madama – Museo Civico d’Arte Antica e Borgo Medievale, la Fondazione Accorsi-Ometto, e le Biblioteche Reale, Nazionale, Civica, della Regione Piemonte, Storica della Provincia, del Seminario Metropolitano, Patetta.</w:t>
      </w:r>
    </w:p>
    <w:p w14:paraId="4991B2FC" w14:textId="77777777" w:rsidR="009C58EB" w:rsidRPr="009C58EB" w:rsidRDefault="009C58EB" w:rsidP="009C58EB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VIVANT</w:t>
      </w:r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ha realizzato e tiene costantemente aggiornato il sito internet </w:t>
      </w:r>
      <w:hyperlink r:id="rId10" w:history="1">
        <w:r w:rsidRPr="009C58EB">
          <w:rPr>
            <w:rStyle w:val="Collegamentoipertestuale"/>
            <w:rFonts w:asciiTheme="minorHAnsi" w:hAnsiTheme="minorHAnsi" w:cstheme="minorHAnsi"/>
            <w:sz w:val="20"/>
            <w:szCs w:val="20"/>
          </w:rPr>
          <w:t>www.vivant.it</w:t>
        </w:r>
      </w:hyperlink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in cui sono riportate tutte le conferenze che si sono svolte, nonché, dotati di articolati </w:t>
      </w:r>
      <w:proofErr w:type="gramStart"/>
      <w:r w:rsidRPr="009C58EB">
        <w:rPr>
          <w:rFonts w:asciiTheme="minorHAnsi" w:hAnsiTheme="minorHAnsi" w:cstheme="minorHAnsi"/>
          <w:color w:val="000000"/>
          <w:sz w:val="20"/>
          <w:szCs w:val="20"/>
        </w:rPr>
        <w:t>e</w:t>
      </w:r>
      <w:proofErr w:type="gramEnd"/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efficienti motori di ricerca, le seguenti fondamentali opere:</w:t>
      </w:r>
    </w:p>
    <w:p w14:paraId="758C5732" w14:textId="77777777" w:rsidR="009C58EB" w:rsidRPr="009C58EB" w:rsidRDefault="009C58EB" w:rsidP="009C58EB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>Il Patriziato subalpino</w:t>
      </w:r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del barone Antonio Manno</w:t>
      </w:r>
    </w:p>
    <w:p w14:paraId="23FA02D1" w14:textId="77777777" w:rsidR="009C58EB" w:rsidRPr="009C58EB" w:rsidRDefault="009C58EB" w:rsidP="009C58EB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I </w:t>
      </w:r>
      <w:proofErr w:type="spellStart"/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>Consegnamenti</w:t>
      </w:r>
      <w:proofErr w:type="spellEnd"/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d’arme piemontesi </w:t>
      </w:r>
      <w:r w:rsidRPr="009C58EB">
        <w:rPr>
          <w:rFonts w:asciiTheme="minorHAnsi" w:hAnsiTheme="minorHAnsi" w:cstheme="minorHAnsi"/>
          <w:color w:val="000000"/>
          <w:sz w:val="20"/>
          <w:szCs w:val="20"/>
        </w:rPr>
        <w:t>(1580, 1614, 1687)</w:t>
      </w:r>
    </w:p>
    <w:p w14:paraId="494AC3E6" w14:textId="77777777" w:rsidR="009C58EB" w:rsidRPr="009C58EB" w:rsidRDefault="009C58EB" w:rsidP="009C58EB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>Il</w:t>
      </w:r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>Dizionario feudale degli antichi Stati sardi</w:t>
      </w:r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del marchese Francesco Guasco di Bisio.</w:t>
      </w:r>
    </w:p>
    <w:p w14:paraId="544A1C54" w14:textId="77777777" w:rsidR="009C58EB" w:rsidRPr="009C58EB" w:rsidRDefault="009C58EB" w:rsidP="009C58EB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>Raccolta degli Scritti su temi di araldica, difesa dei cognomi, dei predicati e dei titoli nobiliari</w:t>
      </w:r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del conte professore Giorgio </w:t>
      </w:r>
      <w:proofErr w:type="spellStart"/>
      <w:r w:rsidRPr="009C58EB">
        <w:rPr>
          <w:rFonts w:asciiTheme="minorHAnsi" w:hAnsiTheme="minorHAnsi" w:cstheme="minorHAnsi"/>
          <w:color w:val="000000"/>
          <w:sz w:val="20"/>
          <w:szCs w:val="20"/>
        </w:rPr>
        <w:t>Cansacchi</w:t>
      </w:r>
      <w:proofErr w:type="spellEnd"/>
      <w:r w:rsidRPr="009C58EB">
        <w:rPr>
          <w:rFonts w:asciiTheme="minorHAnsi" w:hAnsiTheme="minorHAnsi" w:cstheme="minorHAnsi"/>
          <w:color w:val="000000"/>
          <w:sz w:val="20"/>
          <w:szCs w:val="20"/>
        </w:rPr>
        <w:t xml:space="preserve"> di Amelia</w:t>
      </w:r>
    </w:p>
    <w:p w14:paraId="3A2DB12F" w14:textId="77777777" w:rsidR="009C58EB" w:rsidRPr="009C58EB" w:rsidRDefault="009C58EB" w:rsidP="009C58EB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>Il Blasonario Subalpino</w:t>
      </w:r>
      <w:r w:rsidRPr="009C58EB">
        <w:rPr>
          <w:rFonts w:asciiTheme="minorHAnsi" w:hAnsiTheme="minorHAnsi" w:cstheme="minorHAnsi"/>
          <w:color w:val="000000"/>
          <w:sz w:val="20"/>
          <w:szCs w:val="20"/>
        </w:rPr>
        <w:t>, di Federico Bona</w:t>
      </w:r>
    </w:p>
    <w:p w14:paraId="124A0AD8" w14:textId="5721C435" w:rsidR="009C58EB" w:rsidRPr="00045175" w:rsidRDefault="009C58EB" w:rsidP="00674825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58EB">
        <w:rPr>
          <w:rFonts w:asciiTheme="minorHAnsi" w:hAnsiTheme="minorHAnsi" w:cstheme="minorHAnsi"/>
          <w:color w:val="000000"/>
          <w:sz w:val="20"/>
          <w:szCs w:val="20"/>
        </w:rPr>
        <w:t>Il sito ad oggi è stato visitato da numerosissimi studiosi e moltissime sono le persone che, da tutte le parti del mondo, scrivono per chiedere informazioni, svolgere ricerche, ottenere consulenze nello studio della storia di famiglie subalpine e dei ceti dirigenti del Piemonte, Nizza e Nizzardo, Valle d’Aosta, Savoia.</w:t>
      </w:r>
      <w:r w:rsidRPr="0004517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11" w:history="1">
        <w:r w:rsidRPr="00045175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https://vivant.it/lassociazione/</w:t>
        </w:r>
      </w:hyperlink>
      <w:r w:rsidRPr="0004517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66466F85" w14:textId="77777777" w:rsidR="00045175" w:rsidRPr="00045175" w:rsidRDefault="00045175" w:rsidP="00674825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7EFDE67" w14:textId="0553EF0F" w:rsidR="00045175" w:rsidRPr="00045175" w:rsidRDefault="00045175" w:rsidP="00045175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45175">
        <w:rPr>
          <w:rFonts w:asciiTheme="minorHAnsi" w:hAnsiTheme="minorHAnsi" w:cstheme="minorHAnsi"/>
          <w:b/>
          <w:bCs/>
          <w:color w:val="000000"/>
          <w:sz w:val="20"/>
          <w:szCs w:val="20"/>
        </w:rPr>
        <w:t>“I Quaderni di Vivant”</w:t>
      </w:r>
      <w:r w:rsidRPr="00045175">
        <w:rPr>
          <w:rFonts w:asciiTheme="minorHAnsi" w:hAnsiTheme="minorHAnsi" w:cstheme="minorHAnsi"/>
          <w:color w:val="000000"/>
          <w:sz w:val="20"/>
          <w:szCs w:val="20"/>
        </w:rPr>
        <w:t xml:space="preserve">, Anno primo, n. 1, con contributi di Maurizio </w:t>
      </w:r>
      <w:proofErr w:type="spellStart"/>
      <w:r w:rsidRPr="00045175">
        <w:rPr>
          <w:rFonts w:asciiTheme="minorHAnsi" w:hAnsiTheme="minorHAnsi" w:cstheme="minorHAnsi"/>
          <w:color w:val="000000"/>
          <w:sz w:val="20"/>
          <w:szCs w:val="20"/>
        </w:rPr>
        <w:t>Bettoia</w:t>
      </w:r>
      <w:proofErr w:type="spellEnd"/>
      <w:r w:rsidRPr="00045175">
        <w:rPr>
          <w:rFonts w:asciiTheme="minorHAnsi" w:hAnsiTheme="minorHAnsi" w:cstheme="minorHAnsi"/>
          <w:color w:val="000000"/>
          <w:sz w:val="20"/>
          <w:szCs w:val="20"/>
        </w:rPr>
        <w:t xml:space="preserve"> (</w:t>
      </w:r>
      <w:r w:rsidRPr="00045175">
        <w:rPr>
          <w:rFonts w:asciiTheme="minorHAnsi" w:hAnsiTheme="minorHAnsi" w:cstheme="minorHAnsi"/>
          <w:i/>
          <w:iCs/>
          <w:color w:val="000000"/>
          <w:sz w:val="20"/>
          <w:szCs w:val="20"/>
        </w:rPr>
        <w:t>I mobili araldici</w:t>
      </w:r>
      <w:r w:rsidRPr="00045175">
        <w:rPr>
          <w:rFonts w:asciiTheme="minorHAnsi" w:hAnsiTheme="minorHAnsi" w:cstheme="minorHAnsi"/>
          <w:color w:val="000000"/>
          <w:sz w:val="20"/>
          <w:szCs w:val="20"/>
        </w:rPr>
        <w:t> e </w:t>
      </w:r>
      <w:r w:rsidRPr="00045175">
        <w:rPr>
          <w:rFonts w:asciiTheme="minorHAnsi" w:hAnsiTheme="minorHAnsi" w:cstheme="minorHAnsi"/>
          <w:i/>
          <w:iCs/>
          <w:color w:val="000000"/>
          <w:sz w:val="20"/>
          <w:szCs w:val="20"/>
        </w:rPr>
        <w:t>Il funerale </w:t>
      </w:r>
      <w:r w:rsidRPr="00045175">
        <w:rPr>
          <w:rFonts w:asciiTheme="minorHAnsi" w:hAnsiTheme="minorHAnsi" w:cstheme="minorHAnsi"/>
          <w:color w:val="000000"/>
          <w:sz w:val="20"/>
          <w:szCs w:val="20"/>
        </w:rPr>
        <w:t xml:space="preserve">more </w:t>
      </w:r>
      <w:proofErr w:type="spellStart"/>
      <w:r w:rsidRPr="00045175">
        <w:rPr>
          <w:rFonts w:asciiTheme="minorHAnsi" w:hAnsiTheme="minorHAnsi" w:cstheme="minorHAnsi"/>
          <w:color w:val="000000"/>
          <w:sz w:val="20"/>
          <w:szCs w:val="20"/>
        </w:rPr>
        <w:t>nobilium</w:t>
      </w:r>
      <w:proofErr w:type="spellEnd"/>
      <w:r w:rsidRPr="00045175">
        <w:rPr>
          <w:rFonts w:asciiTheme="minorHAnsi" w:hAnsiTheme="minorHAnsi" w:cstheme="minorHAnsi"/>
          <w:color w:val="000000"/>
          <w:sz w:val="20"/>
          <w:szCs w:val="20"/>
        </w:rPr>
        <w:t xml:space="preserve">) di Amalia </w:t>
      </w:r>
      <w:proofErr w:type="spellStart"/>
      <w:r w:rsidRPr="00045175">
        <w:rPr>
          <w:rFonts w:asciiTheme="minorHAnsi" w:hAnsiTheme="minorHAnsi" w:cstheme="minorHAnsi"/>
          <w:color w:val="000000"/>
          <w:sz w:val="20"/>
          <w:szCs w:val="20"/>
        </w:rPr>
        <w:t>Biandrà</w:t>
      </w:r>
      <w:proofErr w:type="spellEnd"/>
      <w:r w:rsidRPr="00045175">
        <w:rPr>
          <w:rFonts w:asciiTheme="minorHAnsi" w:hAnsiTheme="minorHAnsi" w:cstheme="minorHAnsi"/>
          <w:color w:val="000000"/>
          <w:sz w:val="20"/>
          <w:szCs w:val="20"/>
        </w:rPr>
        <w:t> di Reaglie (</w:t>
      </w:r>
      <w:r w:rsidRPr="00045175">
        <w:rPr>
          <w:rFonts w:asciiTheme="minorHAnsi" w:hAnsiTheme="minorHAnsi" w:cstheme="minorHAnsi"/>
          <w:i/>
          <w:iCs/>
          <w:color w:val="000000"/>
          <w:sz w:val="20"/>
          <w:szCs w:val="20"/>
        </w:rPr>
        <w:t>Un funerale “araldico” a Milano nel secolo XVIII</w:t>
      </w:r>
      <w:r w:rsidRPr="00045175">
        <w:rPr>
          <w:rFonts w:asciiTheme="minorHAnsi" w:hAnsiTheme="minorHAnsi" w:cstheme="minorHAnsi"/>
          <w:color w:val="000000"/>
          <w:sz w:val="20"/>
          <w:szCs w:val="20"/>
        </w:rPr>
        <w:t>) e di Baldassarre Molino (</w:t>
      </w:r>
      <w:r w:rsidRPr="00045175">
        <w:rPr>
          <w:rFonts w:asciiTheme="minorHAnsi" w:hAnsiTheme="minorHAnsi" w:cstheme="minorHAnsi"/>
          <w:i/>
          <w:iCs/>
          <w:color w:val="000000"/>
          <w:sz w:val="20"/>
          <w:szCs w:val="20"/>
        </w:rPr>
        <w:t>Cronaca di un funerale</w:t>
      </w:r>
      <w:r w:rsidRPr="00045175">
        <w:rPr>
          <w:rFonts w:asciiTheme="minorHAnsi" w:hAnsiTheme="minorHAnsi" w:cstheme="minorHAnsi"/>
          <w:color w:val="000000"/>
          <w:sz w:val="20"/>
          <w:szCs w:val="20"/>
        </w:rPr>
        <w:t xml:space="preserve">, [quello di Alessandro Roero di Guarene, 1899, da un manoscritto inedito di Emanuele Provana di Collegno]); Presentazione di Gloria Nunziante Salazar, 2008.   </w:t>
      </w:r>
    </w:p>
    <w:p w14:paraId="75B173BF" w14:textId="2D6C8A01" w:rsidR="00045175" w:rsidRPr="00045175" w:rsidRDefault="00045175" w:rsidP="00045175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45175">
        <w:rPr>
          <w:rFonts w:asciiTheme="minorHAnsi" w:hAnsiTheme="minorHAnsi" w:cstheme="minorHAnsi"/>
          <w:b/>
          <w:bCs/>
          <w:color w:val="000000"/>
          <w:sz w:val="20"/>
          <w:szCs w:val="20"/>
        </w:rPr>
        <w:t>“I Quaderni di Vivant”, Anno secondo, n. 2</w:t>
      </w:r>
      <w:r w:rsidRPr="00045175">
        <w:rPr>
          <w:rFonts w:asciiTheme="minorHAnsi" w:hAnsiTheme="minorHAnsi" w:cstheme="minorHAnsi"/>
          <w:color w:val="000000"/>
          <w:sz w:val="20"/>
          <w:szCs w:val="20"/>
        </w:rPr>
        <w:t>, fascicolo monografico di Gustavo Mola di Nomaglio e Roberto Sandri-Giachino, </w:t>
      </w:r>
      <w:r w:rsidRPr="00045175">
        <w:rPr>
          <w:rFonts w:asciiTheme="minorHAnsi" w:hAnsiTheme="minorHAnsi" w:cstheme="minorHAnsi"/>
          <w:i/>
          <w:iCs/>
          <w:color w:val="000000"/>
          <w:sz w:val="20"/>
          <w:szCs w:val="20"/>
        </w:rPr>
        <w:t>Un primato piemontese in Europa. Venaria e la Cavalleria sabauda alla vigilia del Risorgimento</w:t>
      </w:r>
      <w:r w:rsidRPr="00045175">
        <w:rPr>
          <w:rFonts w:asciiTheme="minorHAnsi" w:hAnsiTheme="minorHAnsi" w:cstheme="minorHAnsi"/>
          <w:color w:val="000000"/>
          <w:sz w:val="20"/>
          <w:szCs w:val="20"/>
        </w:rPr>
        <w:t>, Presentazione di Fabrizio Antonielli d’Oulx, 2009.</w:t>
      </w:r>
      <w:r w:rsidRPr="00045175">
        <w:rPr>
          <w:sz w:val="20"/>
          <w:szCs w:val="20"/>
        </w:rPr>
        <w:t xml:space="preserve"> </w:t>
      </w:r>
      <w:hyperlink r:id="rId12" w:history="1">
        <w:r w:rsidRPr="00045175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https://vivant.it/category/pubblicazioni/</w:t>
        </w:r>
      </w:hyperlink>
      <w:r w:rsidRPr="0004517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sectPr w:rsidR="00045175" w:rsidRPr="0004517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02D6A"/>
    <w:multiLevelType w:val="multilevel"/>
    <w:tmpl w:val="02A4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E755CF"/>
    <w:multiLevelType w:val="multilevel"/>
    <w:tmpl w:val="4E78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0396000">
    <w:abstractNumId w:val="1"/>
  </w:num>
  <w:num w:numId="2" w16cid:durableId="1762331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C7990"/>
    <w:rsid w:val="00045175"/>
    <w:rsid w:val="0031062F"/>
    <w:rsid w:val="003605E3"/>
    <w:rsid w:val="00375F4B"/>
    <w:rsid w:val="003811E4"/>
    <w:rsid w:val="00653982"/>
    <w:rsid w:val="00674825"/>
    <w:rsid w:val="009C58EB"/>
    <w:rsid w:val="00C01C69"/>
    <w:rsid w:val="00C71CAA"/>
    <w:rsid w:val="00CC7990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A4AE9"/>
  <w15:chartTrackingRefBased/>
  <w15:docId w15:val="{950F5DC0-75DF-4C96-A676-B26306E4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482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C79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C79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C799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C79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C799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C79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C79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C79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C79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C799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C79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C799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C799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C799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C799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C799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C799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C799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C79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C79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C799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C79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C79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C799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C799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C799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C799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C799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C799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58E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5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22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26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0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9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5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4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27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9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2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ivant.it/category/pubblicazion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vant.it/lassociazione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vivant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vant.it/il-bollettin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2024-12-13T17:35:00Z</dcterms:created>
  <dcterms:modified xsi:type="dcterms:W3CDTF">2024-12-14T05:31:00Z</dcterms:modified>
</cp:coreProperties>
</file>