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4757" w14:textId="6686B908" w:rsidR="001D25EA" w:rsidRPr="00422A49" w:rsidRDefault="00422A49" w:rsidP="00422A49">
      <w:pPr>
        <w:spacing w:after="0" w:line="240" w:lineRule="auto"/>
        <w:jc w:val="both"/>
        <w:rPr>
          <w:rFonts w:cstheme="minorHAnsi"/>
          <w:i/>
          <w:sz w:val="16"/>
          <w:szCs w:val="16"/>
        </w:rPr>
      </w:pPr>
      <w:r>
        <w:rPr>
          <w:rFonts w:cstheme="minorHAnsi"/>
          <w:b/>
          <w:color w:val="C00000"/>
          <w:sz w:val="44"/>
          <w:szCs w:val="44"/>
        </w:rPr>
        <w:t>E12103</w:t>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b/>
        </w:rPr>
        <w:tab/>
      </w:r>
      <w:r w:rsidR="001D25EA" w:rsidRPr="00422A49">
        <w:rPr>
          <w:rFonts w:cstheme="minorHAnsi"/>
          <w:i/>
          <w:sz w:val="16"/>
          <w:szCs w:val="16"/>
        </w:rPr>
        <w:t>Scheda creata il 2 marzo 2025</w:t>
      </w:r>
    </w:p>
    <w:p w14:paraId="55538A7A" w14:textId="5D9A2051" w:rsidR="001D25EA" w:rsidRPr="00422A49" w:rsidRDefault="001D25EA" w:rsidP="00422A49">
      <w:pPr>
        <w:spacing w:after="0" w:line="240" w:lineRule="auto"/>
        <w:jc w:val="both"/>
        <w:rPr>
          <w:rFonts w:cstheme="minorHAnsi"/>
          <w:b/>
          <w:color w:val="C00000"/>
          <w:sz w:val="44"/>
          <w:szCs w:val="44"/>
        </w:rPr>
      </w:pPr>
      <w:r w:rsidRPr="00422A49">
        <w:rPr>
          <w:rFonts w:cstheme="minorHAnsi"/>
          <w:noProof/>
        </w:rPr>
        <w:drawing>
          <wp:inline distT="0" distB="0" distL="0" distR="0" wp14:anchorId="3B5644F6" wp14:editId="7DB3009E">
            <wp:extent cx="2034000" cy="2520000"/>
            <wp:effectExtent l="0" t="0" r="4445" b="0"/>
            <wp:docPr id="2117469969" name="Immagine 1" descr="Immagine che contiene testo, camion, ruota, Ricambio au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69969" name="Immagine 1" descr="Immagine che contiene testo, camion, ruota, Ricambio auto&#10;&#10;Il contenuto generato dall'IA potrebbe non essere corretto."/>
                    <pic:cNvPicPr/>
                  </pic:nvPicPr>
                  <pic:blipFill>
                    <a:blip r:embed="rId5"/>
                    <a:stretch>
                      <a:fillRect/>
                    </a:stretch>
                  </pic:blipFill>
                  <pic:spPr>
                    <a:xfrm>
                      <a:off x="0" y="0"/>
                      <a:ext cx="2034000" cy="2520000"/>
                    </a:xfrm>
                    <a:prstGeom prst="rect">
                      <a:avLst/>
                    </a:prstGeom>
                  </pic:spPr>
                </pic:pic>
              </a:graphicData>
            </a:graphic>
          </wp:inline>
        </w:drawing>
      </w:r>
      <w:r w:rsidRPr="00422A49">
        <w:rPr>
          <w:rFonts w:cstheme="minorHAnsi"/>
        </w:rPr>
        <w:t xml:space="preserve"> </w:t>
      </w:r>
      <w:r w:rsidRPr="00422A49">
        <w:rPr>
          <w:rFonts w:cstheme="minorHAnsi"/>
          <w:noProof/>
        </w:rPr>
        <w:drawing>
          <wp:inline distT="0" distB="0" distL="0" distR="0" wp14:anchorId="5F41F635" wp14:editId="3F350F8A">
            <wp:extent cx="1742400" cy="2160000"/>
            <wp:effectExtent l="0" t="0" r="0" b="0"/>
            <wp:docPr id="1766491290" name="Immagine 1" descr="Immagine che contiene testo, vestiti, Viso umano, Abbigliamento in pellicc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91290" name="Immagine 1" descr="Immagine che contiene testo, vestiti, Viso umano, Abbigliamento in pelliccia&#10;&#10;Il contenuto generato dall'IA potrebbe non essere corretto."/>
                    <pic:cNvPicPr/>
                  </pic:nvPicPr>
                  <pic:blipFill>
                    <a:blip r:embed="rId6"/>
                    <a:stretch>
                      <a:fillRect/>
                    </a:stretch>
                  </pic:blipFill>
                  <pic:spPr>
                    <a:xfrm>
                      <a:off x="0" y="0"/>
                      <a:ext cx="1742400" cy="2160000"/>
                    </a:xfrm>
                    <a:prstGeom prst="rect">
                      <a:avLst/>
                    </a:prstGeom>
                  </pic:spPr>
                </pic:pic>
              </a:graphicData>
            </a:graphic>
          </wp:inline>
        </w:drawing>
      </w:r>
      <w:r w:rsidRPr="00422A49">
        <w:rPr>
          <w:rFonts w:cstheme="minorHAnsi"/>
        </w:rPr>
        <w:t xml:space="preserve"> </w:t>
      </w:r>
      <w:r w:rsidRPr="00422A49">
        <w:rPr>
          <w:rFonts w:cstheme="minorHAnsi"/>
          <w:noProof/>
        </w:rPr>
        <w:drawing>
          <wp:inline distT="0" distB="0" distL="0" distR="0" wp14:anchorId="2083B3B6" wp14:editId="4308AF2C">
            <wp:extent cx="2037600" cy="2520000"/>
            <wp:effectExtent l="0" t="0" r="1270" b="0"/>
            <wp:docPr id="1405140433" name="Immagine 1" descr="Quaderno OITAf n. 10/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erno OITAf n. 10/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7600" cy="2520000"/>
                    </a:xfrm>
                    <a:prstGeom prst="rect">
                      <a:avLst/>
                    </a:prstGeom>
                    <a:noFill/>
                    <a:ln>
                      <a:noFill/>
                    </a:ln>
                  </pic:spPr>
                </pic:pic>
              </a:graphicData>
            </a:graphic>
          </wp:inline>
        </w:drawing>
      </w:r>
    </w:p>
    <w:p w14:paraId="00F45B2B" w14:textId="561459F0" w:rsidR="001D25EA" w:rsidRPr="00422A49" w:rsidRDefault="001D25EA" w:rsidP="00422A49">
      <w:pPr>
        <w:spacing w:after="0" w:line="240" w:lineRule="auto"/>
        <w:jc w:val="both"/>
        <w:rPr>
          <w:rFonts w:cstheme="minorHAnsi"/>
          <w:b/>
          <w:color w:val="C00000"/>
          <w:sz w:val="44"/>
          <w:szCs w:val="44"/>
        </w:rPr>
      </w:pPr>
      <w:bookmarkStart w:id="0" w:name="_Hlk191792681"/>
      <w:r w:rsidRPr="00422A49">
        <w:rPr>
          <w:rFonts w:cstheme="minorHAnsi"/>
          <w:b/>
          <w:color w:val="C00000"/>
          <w:sz w:val="44"/>
          <w:szCs w:val="44"/>
        </w:rPr>
        <w:t xml:space="preserve">Descrizione </w:t>
      </w:r>
      <w:r w:rsidR="00592227">
        <w:rPr>
          <w:rFonts w:cstheme="minorHAnsi"/>
          <w:b/>
          <w:color w:val="C00000"/>
          <w:sz w:val="44"/>
          <w:szCs w:val="44"/>
        </w:rPr>
        <w:t>storico-</w:t>
      </w:r>
      <w:r w:rsidRPr="00422A49">
        <w:rPr>
          <w:rFonts w:cstheme="minorHAnsi"/>
          <w:b/>
          <w:color w:val="C00000"/>
          <w:sz w:val="44"/>
          <w:szCs w:val="44"/>
        </w:rPr>
        <w:t>bibliografica</w:t>
      </w:r>
    </w:p>
    <w:bookmarkEnd w:id="0"/>
    <w:p w14:paraId="43D320A5" w14:textId="169000B0" w:rsidR="001D25EA" w:rsidRPr="00422A49" w:rsidRDefault="001D25EA" w:rsidP="00422A49">
      <w:pPr>
        <w:spacing w:after="0" w:line="240" w:lineRule="auto"/>
        <w:jc w:val="both"/>
        <w:rPr>
          <w:rFonts w:cstheme="minorHAnsi"/>
          <w:sz w:val="24"/>
          <w:szCs w:val="24"/>
        </w:rPr>
      </w:pPr>
      <w:r w:rsidRPr="00422A49">
        <w:rPr>
          <w:rFonts w:cstheme="minorHAnsi"/>
          <w:sz w:val="24"/>
          <w:szCs w:val="24"/>
        </w:rPr>
        <w:t>*</w:t>
      </w:r>
      <w:r w:rsidRPr="00422A49">
        <w:rPr>
          <w:rFonts w:cstheme="minorHAnsi"/>
          <w:b/>
          <w:sz w:val="24"/>
          <w:szCs w:val="24"/>
        </w:rPr>
        <w:t xml:space="preserve">Quaderno </w:t>
      </w:r>
      <w:r w:rsidRPr="00422A49">
        <w:rPr>
          <w:rFonts w:cstheme="minorHAnsi"/>
          <w:bCs/>
          <w:sz w:val="24"/>
          <w:szCs w:val="24"/>
        </w:rPr>
        <w:t>/ OITA</w:t>
      </w:r>
      <w:r w:rsidRPr="00422A49">
        <w:rPr>
          <w:rFonts w:cstheme="minorHAnsi"/>
          <w:sz w:val="24"/>
          <w:szCs w:val="24"/>
        </w:rPr>
        <w:t>. - N. 1 (</w:t>
      </w:r>
      <w:proofErr w:type="gramStart"/>
      <w:r w:rsidRPr="00422A49">
        <w:rPr>
          <w:rFonts w:cstheme="minorHAnsi"/>
          <w:sz w:val="24"/>
          <w:szCs w:val="24"/>
        </w:rPr>
        <w:t>2019)-</w:t>
      </w:r>
      <w:proofErr w:type="gramEnd"/>
      <w:r w:rsidRPr="00422A49">
        <w:rPr>
          <w:rFonts w:cstheme="minorHAnsi"/>
          <w:sz w:val="24"/>
          <w:szCs w:val="24"/>
        </w:rPr>
        <w:t xml:space="preserve">n. 9 (2022). - </w:t>
      </w:r>
      <w:proofErr w:type="gramStart"/>
      <w:r w:rsidRPr="00422A49">
        <w:rPr>
          <w:rFonts w:cstheme="minorHAnsi"/>
          <w:sz w:val="24"/>
          <w:szCs w:val="24"/>
        </w:rPr>
        <w:t>Milano :</w:t>
      </w:r>
      <w:proofErr w:type="gramEnd"/>
      <w:r w:rsidRPr="00422A49">
        <w:rPr>
          <w:rFonts w:cstheme="minorHAnsi"/>
          <w:sz w:val="24"/>
          <w:szCs w:val="24"/>
        </w:rPr>
        <w:t xml:space="preserve"> La fiaccola, 2019-2022. – 9 </w:t>
      </w:r>
      <w:proofErr w:type="gramStart"/>
      <w:r w:rsidRPr="00422A49">
        <w:rPr>
          <w:rFonts w:cstheme="minorHAnsi"/>
          <w:sz w:val="24"/>
          <w:szCs w:val="24"/>
        </w:rPr>
        <w:t>volumi :</w:t>
      </w:r>
      <w:proofErr w:type="gramEnd"/>
      <w:r w:rsidRPr="00422A49">
        <w:rPr>
          <w:rFonts w:cstheme="minorHAnsi"/>
          <w:sz w:val="24"/>
          <w:szCs w:val="24"/>
        </w:rPr>
        <w:t xml:space="preserve"> ill. ; 26 cm. ((Bimestrale irregolare. – Dal 2021 il nome dell'ente varia in: OITAF. - Pubblicato anche </w:t>
      </w:r>
      <w:r w:rsidR="00422A49" w:rsidRPr="00422A49">
        <w:rPr>
          <w:rFonts w:cstheme="minorHAnsi"/>
          <w:sz w:val="24"/>
          <w:szCs w:val="24"/>
        </w:rPr>
        <w:t>online</w:t>
      </w:r>
      <w:r w:rsidRPr="00422A49">
        <w:rPr>
          <w:rFonts w:cstheme="minorHAnsi"/>
          <w:sz w:val="24"/>
          <w:szCs w:val="24"/>
        </w:rPr>
        <w:t xml:space="preserve">. - BVE0848793  </w:t>
      </w:r>
    </w:p>
    <w:p w14:paraId="6CE65748" w14:textId="3F83D3E4" w:rsidR="001D25EA" w:rsidRPr="00422A49" w:rsidRDefault="001D25EA" w:rsidP="00422A49">
      <w:pPr>
        <w:spacing w:after="0" w:line="240" w:lineRule="auto"/>
        <w:jc w:val="both"/>
        <w:rPr>
          <w:rFonts w:cstheme="minorHAnsi"/>
          <w:sz w:val="24"/>
          <w:szCs w:val="24"/>
        </w:rPr>
      </w:pPr>
      <w:r w:rsidRPr="00422A49">
        <w:rPr>
          <w:rFonts w:cstheme="minorHAnsi"/>
          <w:sz w:val="24"/>
          <w:szCs w:val="24"/>
        </w:rPr>
        <w:t>Variant</w:t>
      </w:r>
      <w:r w:rsidR="00422A49" w:rsidRPr="00422A49">
        <w:rPr>
          <w:rFonts w:cstheme="minorHAnsi"/>
          <w:sz w:val="24"/>
          <w:szCs w:val="24"/>
        </w:rPr>
        <w:t>i</w:t>
      </w:r>
      <w:r w:rsidRPr="00422A49">
        <w:rPr>
          <w:rFonts w:cstheme="minorHAnsi"/>
          <w:sz w:val="24"/>
          <w:szCs w:val="24"/>
        </w:rPr>
        <w:t xml:space="preserve"> del titolo: *Quaderno OITA</w:t>
      </w:r>
      <w:r w:rsidR="00422A49" w:rsidRPr="00422A49">
        <w:rPr>
          <w:rFonts w:cstheme="minorHAnsi"/>
          <w:sz w:val="24"/>
          <w:szCs w:val="24"/>
        </w:rPr>
        <w:t>; *Quaderno OITAF</w:t>
      </w:r>
    </w:p>
    <w:p w14:paraId="15982DCA" w14:textId="506FD25F" w:rsidR="001D25EA" w:rsidRPr="00422A49" w:rsidRDefault="001D25EA" w:rsidP="00422A49">
      <w:pPr>
        <w:spacing w:after="0" w:line="240" w:lineRule="auto"/>
        <w:jc w:val="both"/>
        <w:rPr>
          <w:rFonts w:cstheme="minorHAnsi"/>
          <w:sz w:val="24"/>
          <w:szCs w:val="24"/>
        </w:rPr>
      </w:pPr>
      <w:r w:rsidRPr="00422A49">
        <w:rPr>
          <w:rFonts w:cstheme="minorHAnsi"/>
          <w:sz w:val="24"/>
          <w:szCs w:val="24"/>
        </w:rPr>
        <w:t>Supplemento a: *Vie &amp; trasporti [B769]</w:t>
      </w:r>
    </w:p>
    <w:p w14:paraId="0A215BAE" w14:textId="2F1B0E99" w:rsidR="001D25EA" w:rsidRPr="00422A49" w:rsidRDefault="001D25EA" w:rsidP="00422A49">
      <w:pPr>
        <w:spacing w:after="0" w:line="240" w:lineRule="auto"/>
        <w:jc w:val="both"/>
        <w:rPr>
          <w:rFonts w:cstheme="minorHAnsi"/>
          <w:sz w:val="24"/>
          <w:szCs w:val="24"/>
        </w:rPr>
      </w:pPr>
      <w:r w:rsidRPr="00422A49">
        <w:rPr>
          <w:rFonts w:cstheme="minorHAnsi"/>
          <w:sz w:val="24"/>
          <w:szCs w:val="24"/>
        </w:rPr>
        <w:t>Autore: OITA &lt;Osservatorio interdisciplinare trasporto alimenti&gt;; OITAF &lt;Osservatorio interdisciplinare trasporto alimenti e farmaci&gt;</w:t>
      </w:r>
    </w:p>
    <w:p w14:paraId="381D61E5" w14:textId="77777777" w:rsidR="001D25EA" w:rsidRPr="00422A49" w:rsidRDefault="001D25EA" w:rsidP="00422A49">
      <w:pPr>
        <w:spacing w:after="0" w:line="240" w:lineRule="auto"/>
        <w:jc w:val="both"/>
        <w:rPr>
          <w:rFonts w:cstheme="minorHAnsi"/>
          <w:sz w:val="24"/>
          <w:szCs w:val="24"/>
        </w:rPr>
      </w:pPr>
    </w:p>
    <w:p w14:paraId="1963768A" w14:textId="721F5747" w:rsidR="001D25EA" w:rsidRPr="00422A49" w:rsidRDefault="001D25EA" w:rsidP="00422A49">
      <w:pPr>
        <w:spacing w:after="0" w:line="240" w:lineRule="auto"/>
        <w:jc w:val="both"/>
        <w:rPr>
          <w:rFonts w:cstheme="minorHAnsi"/>
          <w:sz w:val="24"/>
          <w:szCs w:val="24"/>
        </w:rPr>
      </w:pPr>
      <w:r w:rsidRPr="00422A49">
        <w:rPr>
          <w:rFonts w:cstheme="minorHAnsi"/>
          <w:sz w:val="24"/>
          <w:szCs w:val="24"/>
        </w:rPr>
        <w:t>*</w:t>
      </w:r>
      <w:r w:rsidRPr="00422A49">
        <w:rPr>
          <w:rFonts w:cstheme="minorHAnsi"/>
          <w:b/>
          <w:bCs/>
          <w:sz w:val="24"/>
          <w:szCs w:val="24"/>
        </w:rPr>
        <w:t>SS</w:t>
      </w:r>
      <w:proofErr w:type="gramStart"/>
      <w:r w:rsidRPr="00422A49">
        <w:rPr>
          <w:rFonts w:cstheme="minorHAnsi"/>
          <w:b/>
          <w:bCs/>
          <w:sz w:val="24"/>
          <w:szCs w:val="24"/>
        </w:rPr>
        <w:t>0 :</w:t>
      </w:r>
      <w:proofErr w:type="gramEnd"/>
      <w:r w:rsidRPr="00422A49">
        <w:rPr>
          <w:rFonts w:cstheme="minorHAnsi"/>
          <w:b/>
          <w:bCs/>
          <w:sz w:val="24"/>
          <w:szCs w:val="24"/>
        </w:rPr>
        <w:t xml:space="preserve"> *Sopra sotto zero</w:t>
      </w:r>
      <w:r w:rsidRPr="00422A49">
        <w:rPr>
          <w:rFonts w:cstheme="minorHAnsi"/>
          <w:sz w:val="24"/>
          <w:szCs w:val="24"/>
        </w:rPr>
        <w:t xml:space="preserve"> : viaggio nelle eccellenze del trasporto refrigerato / OITAF, Osservatorio interdisciplinare trasporto alimenti e farmaci. - 10 (</w:t>
      </w:r>
      <w:proofErr w:type="gramStart"/>
      <w:r w:rsidRPr="00422A49">
        <w:rPr>
          <w:rFonts w:cstheme="minorHAnsi"/>
          <w:sz w:val="24"/>
          <w:szCs w:val="24"/>
        </w:rPr>
        <w:t>2023)-</w:t>
      </w:r>
      <w:proofErr w:type="gramEnd"/>
      <w:r w:rsidRPr="00422A49">
        <w:rPr>
          <w:rFonts w:cstheme="minorHAnsi"/>
          <w:sz w:val="24"/>
          <w:szCs w:val="24"/>
        </w:rPr>
        <w:t xml:space="preserve">    . - [Milano</w:t>
      </w:r>
      <w:proofErr w:type="gramStart"/>
      <w:r w:rsidRPr="00422A49">
        <w:rPr>
          <w:rFonts w:cstheme="minorHAnsi"/>
          <w:sz w:val="24"/>
          <w:szCs w:val="24"/>
        </w:rPr>
        <w:t>] :</w:t>
      </w:r>
      <w:proofErr w:type="gramEnd"/>
      <w:r w:rsidRPr="00422A49">
        <w:rPr>
          <w:rFonts w:cstheme="minorHAnsi"/>
          <w:sz w:val="24"/>
          <w:szCs w:val="24"/>
        </w:rPr>
        <w:t xml:space="preserve"> La fiaccola, 2023-    . - </w:t>
      </w:r>
      <w:proofErr w:type="gramStart"/>
      <w:r w:rsidRPr="00422A49">
        <w:rPr>
          <w:rFonts w:cstheme="minorHAnsi"/>
          <w:sz w:val="24"/>
          <w:szCs w:val="24"/>
        </w:rPr>
        <w:t>volumi :</w:t>
      </w:r>
      <w:proofErr w:type="gramEnd"/>
      <w:r w:rsidRPr="00422A49">
        <w:rPr>
          <w:rFonts w:cstheme="minorHAnsi"/>
          <w:sz w:val="24"/>
          <w:szCs w:val="24"/>
        </w:rPr>
        <w:t xml:space="preserve"> ill. ; 26 cm. ((Annuale. - </w:t>
      </w:r>
      <w:r w:rsidR="00422A49" w:rsidRPr="00422A49">
        <w:rPr>
          <w:rFonts w:cstheme="minorHAnsi"/>
          <w:sz w:val="24"/>
          <w:szCs w:val="24"/>
        </w:rPr>
        <w:t xml:space="preserve">Pubblicato anche online. - </w:t>
      </w:r>
      <w:r w:rsidRPr="00422A49">
        <w:rPr>
          <w:rFonts w:cstheme="minorHAnsi"/>
          <w:sz w:val="24"/>
          <w:szCs w:val="24"/>
        </w:rPr>
        <w:t>CFI1146623</w:t>
      </w:r>
    </w:p>
    <w:p w14:paraId="5E17B737" w14:textId="45395103" w:rsidR="001D25EA" w:rsidRPr="00422A49" w:rsidRDefault="001D25EA" w:rsidP="00422A49">
      <w:pPr>
        <w:spacing w:after="0" w:line="240" w:lineRule="auto"/>
        <w:jc w:val="both"/>
        <w:rPr>
          <w:rFonts w:cstheme="minorHAnsi"/>
          <w:sz w:val="24"/>
          <w:szCs w:val="24"/>
        </w:rPr>
      </w:pPr>
      <w:r w:rsidRPr="00422A49">
        <w:rPr>
          <w:rFonts w:cstheme="minorHAnsi"/>
          <w:sz w:val="24"/>
          <w:szCs w:val="24"/>
        </w:rPr>
        <w:t>Autore: OITAF &lt;Osservatorio interdisciplinare trasporto alimenti e farmaci&gt;</w:t>
      </w:r>
    </w:p>
    <w:p w14:paraId="5B0274F4" w14:textId="77777777" w:rsidR="00422A49" w:rsidRPr="00422A49" w:rsidRDefault="00422A49" w:rsidP="00422A49">
      <w:pPr>
        <w:spacing w:after="0" w:line="240" w:lineRule="auto"/>
        <w:jc w:val="both"/>
        <w:rPr>
          <w:rFonts w:cstheme="minorHAnsi"/>
          <w:sz w:val="24"/>
          <w:szCs w:val="24"/>
        </w:rPr>
      </w:pPr>
    </w:p>
    <w:p w14:paraId="2C552A2B" w14:textId="77777777" w:rsidR="00422A49" w:rsidRPr="00422A49" w:rsidRDefault="00422A49" w:rsidP="00422A49">
      <w:pPr>
        <w:spacing w:after="0" w:line="240" w:lineRule="auto"/>
        <w:jc w:val="both"/>
        <w:rPr>
          <w:rFonts w:cstheme="minorHAnsi"/>
          <w:sz w:val="24"/>
          <w:szCs w:val="24"/>
        </w:rPr>
      </w:pPr>
      <w:r w:rsidRPr="00422A49">
        <w:rPr>
          <w:rFonts w:cstheme="minorHAnsi"/>
          <w:sz w:val="24"/>
          <w:szCs w:val="24"/>
        </w:rPr>
        <w:t>Soggetto: Alimenti - Trasporto - Periodici</w:t>
      </w:r>
    </w:p>
    <w:p w14:paraId="5A3F751B" w14:textId="77777777" w:rsidR="00422A49" w:rsidRPr="00422A49" w:rsidRDefault="00422A49" w:rsidP="00422A49">
      <w:pPr>
        <w:spacing w:after="0" w:line="240" w:lineRule="auto"/>
        <w:jc w:val="both"/>
        <w:rPr>
          <w:rFonts w:cstheme="minorHAnsi"/>
          <w:sz w:val="24"/>
          <w:szCs w:val="24"/>
        </w:rPr>
      </w:pPr>
      <w:r w:rsidRPr="00422A49">
        <w:rPr>
          <w:rFonts w:cstheme="minorHAnsi"/>
          <w:sz w:val="24"/>
          <w:szCs w:val="24"/>
        </w:rPr>
        <w:t>Classe: D388.04405</w:t>
      </w:r>
    </w:p>
    <w:p w14:paraId="1EC72980" w14:textId="77777777" w:rsidR="001D25EA" w:rsidRPr="00422A49" w:rsidRDefault="001D25EA" w:rsidP="00422A49">
      <w:pPr>
        <w:spacing w:after="0" w:line="240" w:lineRule="auto"/>
        <w:jc w:val="both"/>
        <w:rPr>
          <w:rFonts w:cstheme="minorHAnsi"/>
          <w:sz w:val="24"/>
          <w:szCs w:val="24"/>
        </w:rPr>
      </w:pPr>
    </w:p>
    <w:p w14:paraId="395A22DD" w14:textId="13B71475" w:rsidR="001D25EA" w:rsidRPr="00422A49" w:rsidRDefault="001D25EA" w:rsidP="00422A49">
      <w:pPr>
        <w:spacing w:after="0" w:line="240" w:lineRule="auto"/>
        <w:jc w:val="both"/>
        <w:rPr>
          <w:rFonts w:cstheme="minorHAnsi"/>
          <w:sz w:val="44"/>
          <w:szCs w:val="44"/>
        </w:rPr>
      </w:pPr>
      <w:r w:rsidRPr="00422A49">
        <w:rPr>
          <w:rFonts w:cstheme="minorHAnsi"/>
          <w:b/>
          <w:bCs/>
          <w:color w:val="C00000"/>
          <w:sz w:val="44"/>
          <w:szCs w:val="44"/>
        </w:rPr>
        <w:t>Volumi disponibili in rete</w:t>
      </w:r>
      <w:r w:rsidRPr="00422A49">
        <w:rPr>
          <w:rFonts w:cstheme="minorHAnsi"/>
          <w:sz w:val="44"/>
          <w:szCs w:val="44"/>
        </w:rPr>
        <w:t xml:space="preserve">: </w:t>
      </w:r>
      <w:hyperlink r:id="rId8" w:history="1">
        <w:r w:rsidRPr="00422A49">
          <w:rPr>
            <w:rStyle w:val="Collegamentoipertestuale"/>
            <w:rFonts w:asciiTheme="minorHAnsi" w:hAnsiTheme="minorHAnsi" w:cstheme="minorHAnsi"/>
            <w:sz w:val="44"/>
            <w:szCs w:val="44"/>
          </w:rPr>
          <w:t>2019-</w:t>
        </w:r>
      </w:hyperlink>
    </w:p>
    <w:p w14:paraId="51F85280" w14:textId="77777777" w:rsidR="001D25EA" w:rsidRPr="00422A49" w:rsidRDefault="001D25EA" w:rsidP="00422A49">
      <w:pPr>
        <w:spacing w:after="0" w:line="240" w:lineRule="auto"/>
        <w:jc w:val="both"/>
        <w:rPr>
          <w:rFonts w:cstheme="minorHAnsi"/>
          <w:b/>
          <w:bCs/>
          <w:color w:val="C00000"/>
          <w:sz w:val="44"/>
          <w:szCs w:val="44"/>
        </w:rPr>
      </w:pPr>
      <w:r w:rsidRPr="00422A49">
        <w:rPr>
          <w:rFonts w:cstheme="minorHAnsi"/>
          <w:b/>
          <w:bCs/>
          <w:color w:val="C00000"/>
          <w:sz w:val="44"/>
          <w:szCs w:val="44"/>
        </w:rPr>
        <w:t>Informazioni storico-bibliografiche</w:t>
      </w:r>
    </w:p>
    <w:p w14:paraId="2D912840"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OITAF è un polo consultivo e propositivo con la finalità di indagare e approfondire le tematiche connesse al trasporto del cibo, dei prodotti freschi in genere, e di quelli che necessitano di una conservazione a temperatura controllata (farmaceutici e cosmetici).</w:t>
      </w:r>
    </w:p>
    <w:p w14:paraId="34C1D892" w14:textId="77777777" w:rsidR="00422A49" w:rsidRPr="00422A49" w:rsidRDefault="00422A49" w:rsidP="00422A49">
      <w:pPr>
        <w:spacing w:after="0" w:line="240" w:lineRule="auto"/>
        <w:jc w:val="both"/>
        <w:rPr>
          <w:rFonts w:cstheme="minorHAnsi"/>
          <w:b/>
          <w:bCs/>
          <w:sz w:val="20"/>
          <w:szCs w:val="20"/>
        </w:rPr>
      </w:pPr>
      <w:r w:rsidRPr="00422A49">
        <w:rPr>
          <w:rFonts w:cstheme="minorHAnsi"/>
          <w:b/>
          <w:bCs/>
          <w:sz w:val="20"/>
          <w:szCs w:val="20"/>
        </w:rPr>
        <w:t>Quando è nato</w:t>
      </w:r>
    </w:p>
    <w:p w14:paraId="0B9E3129"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OITA nasce nel 2016 dopo Food n’ Motion, evento dedicato alla catena del trasporto, della distribuzione, dei servizi e della logistica di prodotti alimentari e farmaceutici, la cui sicurezza igienico sanitaria risulta fortemente condizionata dalla qualità del trasporto. La denominazione originale è stata modificata nel corso del 2021 in OITAF, per sottolineare l’attenzione al segmento del trasporto farmaco, sollecitata dalla necessità, assolta dall’Osservatorio, di predisporre un documento utile nel fornire indicazioni strategiche nella logica di trasporto e somministrazione dei vaccini anti-Covid-19.</w:t>
      </w:r>
    </w:p>
    <w:p w14:paraId="4ED09662" w14:textId="77777777" w:rsidR="00422A49" w:rsidRPr="00422A49" w:rsidRDefault="00422A49" w:rsidP="00422A49">
      <w:pPr>
        <w:spacing w:after="0" w:line="240" w:lineRule="auto"/>
        <w:jc w:val="both"/>
        <w:rPr>
          <w:rFonts w:cstheme="minorHAnsi"/>
          <w:b/>
          <w:bCs/>
          <w:sz w:val="20"/>
          <w:szCs w:val="20"/>
        </w:rPr>
      </w:pPr>
      <w:r w:rsidRPr="00422A49">
        <w:rPr>
          <w:rFonts w:cstheme="minorHAnsi"/>
          <w:b/>
          <w:bCs/>
          <w:sz w:val="20"/>
          <w:szCs w:val="20"/>
        </w:rPr>
        <w:t>Obiettivo</w:t>
      </w:r>
    </w:p>
    <w:p w14:paraId="3326190D"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L’obiettivo di OITAF è garantire sicurezza e qualità in tutta la supply chain inerente alimenti e farmaci attraverso la definizione di protocolli condivisi per la certificazione del trasporto a temperatura controllata.</w:t>
      </w:r>
    </w:p>
    <w:p w14:paraId="579BCD54"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lastRenderedPageBreak/>
        <w:t>Per raggiungere questo obiettivo, OITAF si impegna in diverse attività:</w:t>
      </w:r>
    </w:p>
    <w:p w14:paraId="0F2105E8" w14:textId="77777777" w:rsidR="00422A49" w:rsidRPr="00422A49" w:rsidRDefault="00422A49" w:rsidP="00422A49">
      <w:pPr>
        <w:numPr>
          <w:ilvl w:val="0"/>
          <w:numId w:val="1"/>
        </w:numPr>
        <w:spacing w:after="0" w:line="240" w:lineRule="auto"/>
        <w:jc w:val="both"/>
        <w:rPr>
          <w:rFonts w:cstheme="minorHAnsi"/>
          <w:sz w:val="20"/>
          <w:szCs w:val="20"/>
        </w:rPr>
      </w:pPr>
      <w:r w:rsidRPr="00422A49">
        <w:rPr>
          <w:rFonts w:cstheme="minorHAnsi"/>
          <w:sz w:val="20"/>
          <w:szCs w:val="20"/>
        </w:rPr>
        <w:t>Ricerca per aziende del settore trasporti, alimenti, bevande e prodotti farmaceutici e cosmetici</w:t>
      </w:r>
    </w:p>
    <w:p w14:paraId="00EC4876" w14:textId="77777777" w:rsidR="00422A49" w:rsidRPr="00422A49" w:rsidRDefault="00422A49" w:rsidP="00422A49">
      <w:pPr>
        <w:numPr>
          <w:ilvl w:val="0"/>
          <w:numId w:val="1"/>
        </w:numPr>
        <w:spacing w:after="0" w:line="240" w:lineRule="auto"/>
        <w:jc w:val="both"/>
        <w:rPr>
          <w:rFonts w:cstheme="minorHAnsi"/>
          <w:sz w:val="20"/>
          <w:szCs w:val="20"/>
        </w:rPr>
      </w:pPr>
      <w:r w:rsidRPr="00422A49">
        <w:rPr>
          <w:rFonts w:cstheme="minorHAnsi"/>
          <w:sz w:val="20"/>
          <w:szCs w:val="20"/>
        </w:rPr>
        <w:t>Sensibilizzazione degli stakeholder</w:t>
      </w:r>
    </w:p>
    <w:p w14:paraId="03A48CAB" w14:textId="77777777" w:rsidR="00422A49" w:rsidRPr="00422A49" w:rsidRDefault="00422A49" w:rsidP="00422A49">
      <w:pPr>
        <w:numPr>
          <w:ilvl w:val="0"/>
          <w:numId w:val="1"/>
        </w:numPr>
        <w:spacing w:after="0" w:line="240" w:lineRule="auto"/>
        <w:jc w:val="both"/>
        <w:rPr>
          <w:rFonts w:cstheme="minorHAnsi"/>
          <w:sz w:val="20"/>
          <w:szCs w:val="20"/>
        </w:rPr>
      </w:pPr>
      <w:r w:rsidRPr="00422A49">
        <w:rPr>
          <w:rFonts w:cstheme="minorHAnsi"/>
          <w:sz w:val="20"/>
          <w:szCs w:val="20"/>
        </w:rPr>
        <w:t>Certificazione del trasporto a temperatura controllata</w:t>
      </w:r>
    </w:p>
    <w:p w14:paraId="5AB53FA2" w14:textId="77777777" w:rsidR="00422A49" w:rsidRPr="00422A49" w:rsidRDefault="00422A49" w:rsidP="00422A49">
      <w:pPr>
        <w:numPr>
          <w:ilvl w:val="0"/>
          <w:numId w:val="1"/>
        </w:numPr>
        <w:spacing w:after="0" w:line="240" w:lineRule="auto"/>
        <w:jc w:val="both"/>
        <w:rPr>
          <w:rFonts w:cstheme="minorHAnsi"/>
          <w:sz w:val="20"/>
          <w:szCs w:val="20"/>
        </w:rPr>
      </w:pPr>
      <w:r w:rsidRPr="00422A49">
        <w:rPr>
          <w:rFonts w:cstheme="minorHAnsi"/>
          <w:sz w:val="20"/>
          <w:szCs w:val="20"/>
        </w:rPr>
        <w:t>Coordinamento a livello interministeriale</w:t>
      </w:r>
    </w:p>
    <w:p w14:paraId="76570212"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Tra le principali attività di OITAF rientra quella di pubblicare periodicamente quaderni tecnici, dedicati al panorama commerciale/industriale di veicoli, rimorchi, frigo e servizi, oppure all’attività di ricerca dei tavoli tecnici. Tra questi rientrano, ad esempio, i suggerimenti per il trasporto dei vaccini a temperatura controllata, l’inserimento di vino e olio EVO nei prodotti soggetti alle regole ATP, o anche il Libro Bianco del settore.</w:t>
      </w:r>
    </w:p>
    <w:p w14:paraId="02F773CA"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 </w:t>
      </w:r>
    </w:p>
    <w:p w14:paraId="6A21BA9C" w14:textId="77777777" w:rsidR="00422A49" w:rsidRPr="00422A49" w:rsidRDefault="00422A49" w:rsidP="00422A49">
      <w:pPr>
        <w:spacing w:after="0" w:line="240" w:lineRule="auto"/>
        <w:jc w:val="both"/>
        <w:rPr>
          <w:rFonts w:cstheme="minorHAnsi"/>
          <w:b/>
          <w:bCs/>
          <w:sz w:val="20"/>
          <w:szCs w:val="20"/>
        </w:rPr>
      </w:pPr>
      <w:r w:rsidRPr="00422A49">
        <w:rPr>
          <w:rFonts w:cstheme="minorHAnsi"/>
          <w:b/>
          <w:bCs/>
          <w:sz w:val="20"/>
          <w:szCs w:val="20"/>
        </w:rPr>
        <w:t>Componenti</w:t>
      </w:r>
    </w:p>
    <w:p w14:paraId="2B00F5A7"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 xml:space="preserve">OITAF è costituita da due organi esecutivi, il board e il Comitato Tecnico Scientifico (CTS), entrambi presieduti dalla dott.ssa Clara </w:t>
      </w:r>
      <w:proofErr w:type="spellStart"/>
      <w:r w:rsidRPr="00422A49">
        <w:rPr>
          <w:rFonts w:cstheme="minorHAnsi"/>
          <w:sz w:val="20"/>
          <w:szCs w:val="20"/>
        </w:rPr>
        <w:t>Ricozzi</w:t>
      </w:r>
      <w:proofErr w:type="spellEnd"/>
      <w:r w:rsidRPr="00422A49">
        <w:rPr>
          <w:rFonts w:cstheme="minorHAnsi"/>
          <w:sz w:val="20"/>
          <w:szCs w:val="20"/>
        </w:rPr>
        <w:t>.</w:t>
      </w:r>
    </w:p>
    <w:p w14:paraId="5EDCBF43" w14:textId="77777777" w:rsidR="00422A49" w:rsidRPr="00422A49" w:rsidRDefault="00422A49" w:rsidP="00422A49">
      <w:pPr>
        <w:spacing w:after="0" w:line="240" w:lineRule="auto"/>
        <w:jc w:val="both"/>
        <w:rPr>
          <w:rFonts w:cstheme="minorHAnsi"/>
          <w:b/>
          <w:bCs/>
          <w:sz w:val="20"/>
          <w:szCs w:val="20"/>
        </w:rPr>
      </w:pPr>
      <w:r w:rsidRPr="00422A49">
        <w:rPr>
          <w:rFonts w:cstheme="minorHAnsi"/>
          <w:b/>
          <w:bCs/>
          <w:sz w:val="20"/>
          <w:szCs w:val="20"/>
          <w:u w:val="single"/>
        </w:rPr>
        <w:t>Board esecutivo</w:t>
      </w:r>
    </w:p>
    <w:p w14:paraId="55A26500"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I componenti, che vanno da sei a dieci partecipanti, hanno il compito, attraverso tavoli tecnici, di individuare le problematiche di settore e di definire programmi e attività di OITAF. I componenti del board esecutivo vengono scelti e nominati dal Presidente e dal Direttore generale, che ne fanno parte insieme al Presidente e al Presidente Onorario del Comitato Tecnico Scientifico (CTS).</w:t>
      </w:r>
    </w:p>
    <w:p w14:paraId="52098DE9"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Del board fanno anche parte, a titolo consultivo, gli sponsor Partner di OITAF.</w:t>
      </w:r>
    </w:p>
    <w:p w14:paraId="53960679" w14:textId="77777777" w:rsidR="00422A49" w:rsidRPr="00422A49" w:rsidRDefault="00422A49" w:rsidP="00422A49">
      <w:pPr>
        <w:numPr>
          <w:ilvl w:val="0"/>
          <w:numId w:val="2"/>
        </w:numPr>
        <w:spacing w:after="0" w:line="240" w:lineRule="auto"/>
        <w:jc w:val="both"/>
        <w:rPr>
          <w:rFonts w:cstheme="minorHAnsi"/>
          <w:sz w:val="20"/>
          <w:szCs w:val="20"/>
        </w:rPr>
      </w:pPr>
      <w:r w:rsidRPr="00422A49">
        <w:rPr>
          <w:rFonts w:cstheme="minorHAnsi"/>
          <w:sz w:val="20"/>
          <w:szCs w:val="20"/>
        </w:rPr>
        <w:t xml:space="preserve">Clara </w:t>
      </w:r>
      <w:proofErr w:type="spellStart"/>
      <w:r w:rsidRPr="00422A49">
        <w:rPr>
          <w:rFonts w:cstheme="minorHAnsi"/>
          <w:sz w:val="20"/>
          <w:szCs w:val="20"/>
        </w:rPr>
        <w:t>Ricozzi</w:t>
      </w:r>
      <w:proofErr w:type="spellEnd"/>
      <w:r w:rsidRPr="00422A49">
        <w:rPr>
          <w:rFonts w:cstheme="minorHAnsi"/>
          <w:sz w:val="20"/>
          <w:szCs w:val="20"/>
        </w:rPr>
        <w:t> – Presidente esecutivo e presidente CTS</w:t>
      </w:r>
    </w:p>
    <w:p w14:paraId="3D834033" w14:textId="77777777" w:rsidR="00422A49" w:rsidRPr="00422A49" w:rsidRDefault="00422A49" w:rsidP="00422A49">
      <w:pPr>
        <w:numPr>
          <w:ilvl w:val="0"/>
          <w:numId w:val="2"/>
        </w:numPr>
        <w:spacing w:after="0" w:line="240" w:lineRule="auto"/>
        <w:jc w:val="both"/>
        <w:rPr>
          <w:rFonts w:cstheme="minorHAnsi"/>
          <w:sz w:val="20"/>
          <w:szCs w:val="20"/>
        </w:rPr>
      </w:pPr>
      <w:r w:rsidRPr="00422A49">
        <w:rPr>
          <w:rFonts w:cstheme="minorHAnsi"/>
          <w:sz w:val="20"/>
          <w:szCs w:val="20"/>
        </w:rPr>
        <w:t>Lucia Saronni – Presidente onorario CTS</w:t>
      </w:r>
    </w:p>
    <w:p w14:paraId="6F42C21C" w14:textId="77777777" w:rsidR="00422A49" w:rsidRPr="00422A49" w:rsidRDefault="00422A49" w:rsidP="00422A49">
      <w:pPr>
        <w:numPr>
          <w:ilvl w:val="0"/>
          <w:numId w:val="2"/>
        </w:numPr>
        <w:spacing w:after="0" w:line="240" w:lineRule="auto"/>
        <w:jc w:val="both"/>
        <w:rPr>
          <w:rFonts w:cstheme="minorHAnsi"/>
          <w:sz w:val="20"/>
          <w:szCs w:val="20"/>
        </w:rPr>
      </w:pPr>
      <w:r w:rsidRPr="00422A49">
        <w:rPr>
          <w:rFonts w:cstheme="minorHAnsi"/>
          <w:sz w:val="20"/>
          <w:szCs w:val="20"/>
        </w:rPr>
        <w:t>Giuseppe Guzzardi – Direttore generale </w:t>
      </w:r>
    </w:p>
    <w:p w14:paraId="6F1DA75A" w14:textId="77777777" w:rsidR="00422A49" w:rsidRPr="00422A49" w:rsidRDefault="00422A49" w:rsidP="00422A49">
      <w:pPr>
        <w:numPr>
          <w:ilvl w:val="0"/>
          <w:numId w:val="2"/>
        </w:numPr>
        <w:spacing w:after="0" w:line="240" w:lineRule="auto"/>
        <w:jc w:val="both"/>
        <w:rPr>
          <w:rFonts w:cstheme="minorHAnsi"/>
          <w:sz w:val="20"/>
          <w:szCs w:val="20"/>
        </w:rPr>
      </w:pPr>
      <w:r w:rsidRPr="00422A49">
        <w:rPr>
          <w:rFonts w:cstheme="minorHAnsi"/>
          <w:sz w:val="20"/>
          <w:szCs w:val="20"/>
        </w:rPr>
        <w:t>Marco Comelli – Responsabile scientifico</w:t>
      </w:r>
    </w:p>
    <w:p w14:paraId="5FAA1936" w14:textId="77777777" w:rsidR="00422A49" w:rsidRPr="00422A49" w:rsidRDefault="00422A49" w:rsidP="00422A49">
      <w:pPr>
        <w:spacing w:after="0" w:line="240" w:lineRule="auto"/>
        <w:jc w:val="both"/>
        <w:rPr>
          <w:rFonts w:cstheme="minorHAnsi"/>
          <w:b/>
          <w:bCs/>
          <w:sz w:val="20"/>
          <w:szCs w:val="20"/>
        </w:rPr>
      </w:pPr>
      <w:r w:rsidRPr="00422A49">
        <w:rPr>
          <w:rFonts w:cstheme="minorHAnsi"/>
          <w:b/>
          <w:bCs/>
          <w:sz w:val="20"/>
          <w:szCs w:val="20"/>
          <w:u w:val="single"/>
        </w:rPr>
        <w:t>Comitato Tecnico Scientifico (CTS)</w:t>
      </w:r>
    </w:p>
    <w:p w14:paraId="1B960DA7"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OITAF collabora con esperti di settore per creare una cultura di monitoraggio delle criticità di filiera e per migliorare la competitività economica e qualitativa delle aziende italiane di trasporto alimentare, sia conto proprio che conto terzi. Il CTS riveste quindi un ruolo consultivo e propositivo, oltre che di networking.</w:t>
      </w:r>
    </w:p>
    <w:p w14:paraId="66967BC2"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Del CTS fanno parte anche i componenti del board esecutivo di OITAF.</w:t>
      </w:r>
    </w:p>
    <w:p w14:paraId="3616B53E"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Riccardo Accorsi</w:t>
      </w:r>
      <w:r w:rsidRPr="00422A49">
        <w:rPr>
          <w:rFonts w:cstheme="minorHAnsi"/>
          <w:sz w:val="20"/>
          <w:szCs w:val="20"/>
        </w:rPr>
        <w:t xml:space="preserve"> - Università Alma Mater </w:t>
      </w:r>
      <w:proofErr w:type="spellStart"/>
      <w:r w:rsidRPr="00422A49">
        <w:rPr>
          <w:rFonts w:cstheme="minorHAnsi"/>
          <w:sz w:val="20"/>
          <w:szCs w:val="20"/>
        </w:rPr>
        <w:t>Studiorum</w:t>
      </w:r>
      <w:proofErr w:type="spellEnd"/>
      <w:r w:rsidRPr="00422A49">
        <w:rPr>
          <w:rFonts w:cstheme="minorHAnsi"/>
          <w:sz w:val="20"/>
          <w:szCs w:val="20"/>
        </w:rPr>
        <w:t xml:space="preserve"> di Bologna</w:t>
      </w:r>
    </w:p>
    <w:p w14:paraId="2033D75A"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Stefano Brivio</w:t>
      </w:r>
      <w:r w:rsidRPr="00422A49">
        <w:rPr>
          <w:rFonts w:cstheme="minorHAnsi"/>
          <w:sz w:val="20"/>
          <w:szCs w:val="20"/>
        </w:rPr>
        <w:t xml:space="preserve"> - MGH Systems Italia</w:t>
      </w:r>
    </w:p>
    <w:p w14:paraId="7FD96AA3"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Gerardo Cardone</w:t>
      </w:r>
      <w:r w:rsidRPr="00422A49">
        <w:rPr>
          <w:rFonts w:cstheme="minorHAnsi"/>
          <w:sz w:val="20"/>
          <w:szCs w:val="20"/>
        </w:rPr>
        <w:t xml:space="preserve"> - Futura Servizi Logistici</w:t>
      </w:r>
    </w:p>
    <w:p w14:paraId="52DCF257"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Giuliano Caselli</w:t>
      </w:r>
      <w:r w:rsidRPr="00422A49">
        <w:rPr>
          <w:rFonts w:cstheme="minorHAnsi"/>
          <w:sz w:val="20"/>
          <w:szCs w:val="20"/>
        </w:rPr>
        <w:t xml:space="preserve"> - </w:t>
      </w:r>
      <w:proofErr w:type="spellStart"/>
      <w:r w:rsidRPr="00422A49">
        <w:rPr>
          <w:rFonts w:cstheme="minorHAnsi"/>
          <w:sz w:val="20"/>
          <w:szCs w:val="20"/>
        </w:rPr>
        <w:t>Tecnea</w:t>
      </w:r>
      <w:proofErr w:type="spellEnd"/>
      <w:r w:rsidRPr="00422A49">
        <w:rPr>
          <w:rFonts w:cstheme="minorHAnsi"/>
          <w:sz w:val="20"/>
          <w:szCs w:val="20"/>
        </w:rPr>
        <w:t xml:space="preserve"> Italia</w:t>
      </w:r>
    </w:p>
    <w:p w14:paraId="0149C8A7" w14:textId="77777777" w:rsidR="00422A49" w:rsidRPr="00422A49" w:rsidRDefault="00422A49" w:rsidP="00422A49">
      <w:pPr>
        <w:numPr>
          <w:ilvl w:val="0"/>
          <w:numId w:val="3"/>
        </w:numPr>
        <w:spacing w:after="0" w:line="240" w:lineRule="auto"/>
        <w:jc w:val="both"/>
        <w:rPr>
          <w:rFonts w:cstheme="minorHAnsi"/>
          <w:sz w:val="20"/>
          <w:szCs w:val="20"/>
        </w:rPr>
      </w:pPr>
      <w:proofErr w:type="spellStart"/>
      <w:r w:rsidRPr="00422A49">
        <w:rPr>
          <w:rFonts w:cstheme="minorHAnsi"/>
          <w:b/>
          <w:bCs/>
          <w:sz w:val="20"/>
          <w:szCs w:val="20"/>
        </w:rPr>
        <w:t>Gérald</w:t>
      </w:r>
      <w:proofErr w:type="spellEnd"/>
      <w:r w:rsidRPr="00422A49">
        <w:rPr>
          <w:rFonts w:cstheme="minorHAnsi"/>
          <w:b/>
          <w:bCs/>
          <w:sz w:val="20"/>
          <w:szCs w:val="20"/>
        </w:rPr>
        <w:t xml:space="preserve"> Cavalier </w:t>
      </w:r>
    </w:p>
    <w:p w14:paraId="06A3685E"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 </w:t>
      </w:r>
    </w:p>
    <w:p w14:paraId="45E78C61" w14:textId="77777777" w:rsidR="00422A49" w:rsidRPr="00422A49" w:rsidRDefault="00422A49" w:rsidP="00422A49">
      <w:pPr>
        <w:spacing w:after="0" w:line="240" w:lineRule="auto"/>
        <w:jc w:val="both"/>
        <w:rPr>
          <w:rFonts w:cstheme="minorHAnsi"/>
          <w:sz w:val="20"/>
          <w:szCs w:val="20"/>
        </w:rPr>
      </w:pPr>
      <w:proofErr w:type="spellStart"/>
      <w:r w:rsidRPr="00422A49">
        <w:rPr>
          <w:rFonts w:cstheme="minorHAnsi"/>
          <w:sz w:val="20"/>
          <w:szCs w:val="20"/>
        </w:rPr>
        <w:t>Groupe</w:t>
      </w:r>
      <w:proofErr w:type="spellEnd"/>
      <w:r w:rsidRPr="00422A49">
        <w:rPr>
          <w:rFonts w:cstheme="minorHAnsi"/>
          <w:sz w:val="20"/>
          <w:szCs w:val="20"/>
        </w:rPr>
        <w:t xml:space="preserve"> </w:t>
      </w:r>
      <w:proofErr w:type="spellStart"/>
      <w:r w:rsidRPr="00422A49">
        <w:rPr>
          <w:rFonts w:cstheme="minorHAnsi"/>
          <w:sz w:val="20"/>
          <w:szCs w:val="20"/>
        </w:rPr>
        <w:t>Tecnea</w:t>
      </w:r>
      <w:proofErr w:type="spellEnd"/>
      <w:r w:rsidRPr="00422A49">
        <w:rPr>
          <w:rFonts w:cstheme="minorHAnsi"/>
          <w:sz w:val="20"/>
          <w:szCs w:val="20"/>
        </w:rPr>
        <w:t xml:space="preserve"> </w:t>
      </w:r>
      <w:proofErr w:type="spellStart"/>
      <w:r w:rsidRPr="00422A49">
        <w:rPr>
          <w:rFonts w:cstheme="minorHAnsi"/>
          <w:sz w:val="20"/>
          <w:szCs w:val="20"/>
        </w:rPr>
        <w:t>Cemafroid</w:t>
      </w:r>
      <w:proofErr w:type="spellEnd"/>
    </w:p>
    <w:p w14:paraId="5F014D58"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 xml:space="preserve">Bruno </w:t>
      </w:r>
      <w:proofErr w:type="spellStart"/>
      <w:r w:rsidRPr="00422A49">
        <w:rPr>
          <w:rFonts w:cstheme="minorHAnsi"/>
          <w:b/>
          <w:bCs/>
          <w:sz w:val="20"/>
          <w:szCs w:val="20"/>
        </w:rPr>
        <w:t>Cortecci</w:t>
      </w:r>
      <w:proofErr w:type="spellEnd"/>
      <w:r w:rsidRPr="00422A49">
        <w:rPr>
          <w:rFonts w:cstheme="minorHAnsi"/>
          <w:b/>
          <w:bCs/>
          <w:sz w:val="20"/>
          <w:szCs w:val="20"/>
        </w:rPr>
        <w:t> </w:t>
      </w:r>
    </w:p>
    <w:p w14:paraId="50011D55"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 xml:space="preserve">- Commissione Onu </w:t>
      </w:r>
      <w:proofErr w:type="spellStart"/>
      <w:r w:rsidRPr="00422A49">
        <w:rPr>
          <w:rFonts w:cstheme="minorHAnsi"/>
          <w:sz w:val="20"/>
          <w:szCs w:val="20"/>
        </w:rPr>
        <w:t>Unece</w:t>
      </w:r>
      <w:proofErr w:type="spellEnd"/>
      <w:r w:rsidRPr="00422A49">
        <w:rPr>
          <w:rFonts w:cstheme="minorHAnsi"/>
          <w:sz w:val="20"/>
          <w:szCs w:val="20"/>
        </w:rPr>
        <w:t xml:space="preserve"> </w:t>
      </w:r>
      <w:proofErr w:type="spellStart"/>
      <w:r w:rsidRPr="00422A49">
        <w:rPr>
          <w:rFonts w:cstheme="minorHAnsi"/>
          <w:sz w:val="20"/>
          <w:szCs w:val="20"/>
        </w:rPr>
        <w:t>European</w:t>
      </w:r>
      <w:proofErr w:type="spellEnd"/>
      <w:r w:rsidRPr="00422A49">
        <w:rPr>
          <w:rFonts w:cstheme="minorHAnsi"/>
          <w:sz w:val="20"/>
          <w:szCs w:val="20"/>
        </w:rPr>
        <w:t xml:space="preserve"> Committee             </w:t>
      </w:r>
    </w:p>
    <w:p w14:paraId="55CF2317" w14:textId="77777777" w:rsidR="00422A49" w:rsidRPr="00422A49" w:rsidRDefault="00422A49" w:rsidP="00422A49">
      <w:pPr>
        <w:spacing w:after="0" w:line="240" w:lineRule="auto"/>
        <w:jc w:val="both"/>
        <w:rPr>
          <w:rFonts w:cstheme="minorHAnsi"/>
          <w:sz w:val="20"/>
          <w:szCs w:val="20"/>
        </w:rPr>
      </w:pPr>
      <w:r w:rsidRPr="00422A49">
        <w:rPr>
          <w:rFonts w:cstheme="minorHAnsi"/>
          <w:sz w:val="20"/>
          <w:szCs w:val="20"/>
        </w:rPr>
        <w:t xml:space="preserve">for </w:t>
      </w:r>
      <w:proofErr w:type="spellStart"/>
      <w:r w:rsidRPr="00422A49">
        <w:rPr>
          <w:rFonts w:cstheme="minorHAnsi"/>
          <w:sz w:val="20"/>
          <w:szCs w:val="20"/>
        </w:rPr>
        <w:t>Standardization</w:t>
      </w:r>
      <w:proofErr w:type="spellEnd"/>
    </w:p>
    <w:p w14:paraId="068201B3"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Pasquale D’Anzi</w:t>
      </w:r>
      <w:r w:rsidRPr="00422A49">
        <w:rPr>
          <w:rFonts w:cstheme="minorHAnsi"/>
          <w:sz w:val="20"/>
          <w:szCs w:val="20"/>
        </w:rPr>
        <w:t> - ACI</w:t>
      </w:r>
    </w:p>
    <w:p w14:paraId="4487E96C"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Giuseppina della Pepa</w:t>
      </w:r>
      <w:r w:rsidRPr="00422A49">
        <w:rPr>
          <w:rFonts w:cstheme="minorHAnsi"/>
          <w:sz w:val="20"/>
          <w:szCs w:val="20"/>
        </w:rPr>
        <w:t> - Anita</w:t>
      </w:r>
    </w:p>
    <w:p w14:paraId="2D12B352"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Franco Fenoglio</w:t>
      </w:r>
      <w:r w:rsidRPr="00422A49">
        <w:rPr>
          <w:rFonts w:cstheme="minorHAnsi"/>
          <w:sz w:val="20"/>
          <w:szCs w:val="20"/>
        </w:rPr>
        <w:t xml:space="preserve"> - </w:t>
      </w:r>
      <w:proofErr w:type="spellStart"/>
      <w:r w:rsidRPr="00422A49">
        <w:rPr>
          <w:rFonts w:cstheme="minorHAnsi"/>
          <w:sz w:val="20"/>
          <w:szCs w:val="20"/>
        </w:rPr>
        <w:t>CdA</w:t>
      </w:r>
      <w:proofErr w:type="spellEnd"/>
      <w:r w:rsidRPr="00422A49">
        <w:rPr>
          <w:rFonts w:cstheme="minorHAnsi"/>
          <w:sz w:val="20"/>
          <w:szCs w:val="20"/>
        </w:rPr>
        <w:t xml:space="preserve"> Italferr</w:t>
      </w:r>
    </w:p>
    <w:p w14:paraId="41761786"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 xml:space="preserve">Antonio </w:t>
      </w:r>
      <w:proofErr w:type="spellStart"/>
      <w:r w:rsidRPr="00422A49">
        <w:rPr>
          <w:rFonts w:cstheme="minorHAnsi"/>
          <w:b/>
          <w:bCs/>
          <w:sz w:val="20"/>
          <w:szCs w:val="20"/>
        </w:rPr>
        <w:t>Fiandino</w:t>
      </w:r>
      <w:proofErr w:type="spellEnd"/>
      <w:r w:rsidRPr="00422A49">
        <w:rPr>
          <w:rFonts w:cstheme="minorHAnsi"/>
          <w:sz w:val="20"/>
          <w:szCs w:val="20"/>
        </w:rPr>
        <w:t xml:space="preserve"> - Rolfo Plastic </w:t>
      </w:r>
      <w:proofErr w:type="spellStart"/>
      <w:r w:rsidRPr="00422A49">
        <w:rPr>
          <w:rFonts w:cstheme="minorHAnsi"/>
          <w:sz w:val="20"/>
          <w:szCs w:val="20"/>
        </w:rPr>
        <w:t>Gal</w:t>
      </w:r>
      <w:proofErr w:type="spellEnd"/>
    </w:p>
    <w:p w14:paraId="6A713523"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Enrico Finocchi</w:t>
      </w:r>
      <w:r w:rsidRPr="00422A49">
        <w:rPr>
          <w:rFonts w:cstheme="minorHAnsi"/>
          <w:sz w:val="20"/>
          <w:szCs w:val="20"/>
        </w:rPr>
        <w:t xml:space="preserve"> - Albo Autotrasportatori</w:t>
      </w:r>
    </w:p>
    <w:p w14:paraId="1410682B"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Olga Landolfi -</w:t>
      </w:r>
      <w:r w:rsidRPr="00422A49">
        <w:rPr>
          <w:rFonts w:cstheme="minorHAnsi"/>
          <w:sz w:val="20"/>
          <w:szCs w:val="20"/>
        </w:rPr>
        <w:t> TTS Italia</w:t>
      </w:r>
    </w:p>
    <w:p w14:paraId="5478F50A"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Antonio Malvestio</w:t>
      </w:r>
      <w:r w:rsidRPr="00422A49">
        <w:rPr>
          <w:rFonts w:cstheme="minorHAnsi"/>
          <w:sz w:val="20"/>
          <w:szCs w:val="20"/>
        </w:rPr>
        <w:t xml:space="preserve"> - </w:t>
      </w:r>
      <w:proofErr w:type="spellStart"/>
      <w:r w:rsidRPr="00422A49">
        <w:rPr>
          <w:rFonts w:cstheme="minorHAnsi"/>
          <w:sz w:val="20"/>
          <w:szCs w:val="20"/>
        </w:rPr>
        <w:t>Freight</w:t>
      </w:r>
      <w:proofErr w:type="spellEnd"/>
      <w:r w:rsidRPr="00422A49">
        <w:rPr>
          <w:rFonts w:cstheme="minorHAnsi"/>
          <w:sz w:val="20"/>
          <w:szCs w:val="20"/>
        </w:rPr>
        <w:t xml:space="preserve"> Leaders </w:t>
      </w:r>
      <w:proofErr w:type="spellStart"/>
      <w:r w:rsidRPr="00422A49">
        <w:rPr>
          <w:rFonts w:cstheme="minorHAnsi"/>
          <w:sz w:val="20"/>
          <w:szCs w:val="20"/>
        </w:rPr>
        <w:t>Council</w:t>
      </w:r>
      <w:proofErr w:type="spellEnd"/>
    </w:p>
    <w:p w14:paraId="3F5D5C0C"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Sandro Mantella</w:t>
      </w:r>
      <w:r w:rsidRPr="00422A49">
        <w:rPr>
          <w:rFonts w:cstheme="minorHAnsi"/>
          <w:sz w:val="20"/>
          <w:szCs w:val="20"/>
        </w:rPr>
        <w:t xml:space="preserve"> - </w:t>
      </w:r>
      <w:proofErr w:type="spellStart"/>
      <w:r w:rsidRPr="00422A49">
        <w:rPr>
          <w:rFonts w:cstheme="minorHAnsi"/>
          <w:sz w:val="20"/>
          <w:szCs w:val="20"/>
        </w:rPr>
        <w:t>Lamberet</w:t>
      </w:r>
      <w:proofErr w:type="spellEnd"/>
      <w:r w:rsidRPr="00422A49">
        <w:rPr>
          <w:rFonts w:cstheme="minorHAnsi"/>
          <w:sz w:val="20"/>
          <w:szCs w:val="20"/>
        </w:rPr>
        <w:t> </w:t>
      </w:r>
    </w:p>
    <w:p w14:paraId="7BA102E9"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Riccardo Manzini</w:t>
      </w:r>
      <w:r w:rsidRPr="00422A49">
        <w:rPr>
          <w:rFonts w:cstheme="minorHAnsi"/>
          <w:sz w:val="20"/>
          <w:szCs w:val="20"/>
        </w:rPr>
        <w:t xml:space="preserve"> - Università Alma Mater </w:t>
      </w:r>
      <w:proofErr w:type="spellStart"/>
      <w:r w:rsidRPr="00422A49">
        <w:rPr>
          <w:rFonts w:cstheme="minorHAnsi"/>
          <w:sz w:val="20"/>
          <w:szCs w:val="20"/>
        </w:rPr>
        <w:t>Studiorum</w:t>
      </w:r>
      <w:proofErr w:type="spellEnd"/>
      <w:r w:rsidRPr="00422A49">
        <w:rPr>
          <w:rFonts w:cstheme="minorHAnsi"/>
          <w:sz w:val="20"/>
          <w:szCs w:val="20"/>
        </w:rPr>
        <w:t xml:space="preserve"> di Bologna</w:t>
      </w:r>
    </w:p>
    <w:p w14:paraId="6AF99A94"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Massimo Marciani</w:t>
      </w:r>
      <w:r w:rsidRPr="00422A49">
        <w:rPr>
          <w:rFonts w:cstheme="minorHAnsi"/>
          <w:sz w:val="20"/>
          <w:szCs w:val="20"/>
        </w:rPr>
        <w:t xml:space="preserve"> - </w:t>
      </w:r>
      <w:proofErr w:type="spellStart"/>
      <w:r w:rsidRPr="00422A49">
        <w:rPr>
          <w:rFonts w:cstheme="minorHAnsi"/>
          <w:sz w:val="20"/>
          <w:szCs w:val="20"/>
        </w:rPr>
        <w:t>Fit</w:t>
      </w:r>
      <w:proofErr w:type="spellEnd"/>
      <w:r w:rsidRPr="00422A49">
        <w:rPr>
          <w:rFonts w:cstheme="minorHAnsi"/>
          <w:sz w:val="20"/>
          <w:szCs w:val="20"/>
        </w:rPr>
        <w:t xml:space="preserve"> Consulting e </w:t>
      </w:r>
      <w:proofErr w:type="spellStart"/>
      <w:r w:rsidRPr="00422A49">
        <w:rPr>
          <w:rFonts w:cstheme="minorHAnsi"/>
          <w:sz w:val="20"/>
          <w:szCs w:val="20"/>
        </w:rPr>
        <w:t>Freight</w:t>
      </w:r>
      <w:proofErr w:type="spellEnd"/>
      <w:r w:rsidRPr="00422A49">
        <w:rPr>
          <w:rFonts w:cstheme="minorHAnsi"/>
          <w:sz w:val="20"/>
          <w:szCs w:val="20"/>
        </w:rPr>
        <w:t xml:space="preserve"> Leaders </w:t>
      </w:r>
      <w:proofErr w:type="spellStart"/>
      <w:r w:rsidRPr="00422A49">
        <w:rPr>
          <w:rFonts w:cstheme="minorHAnsi"/>
          <w:sz w:val="20"/>
          <w:szCs w:val="20"/>
        </w:rPr>
        <w:t>Council</w:t>
      </w:r>
      <w:proofErr w:type="spellEnd"/>
    </w:p>
    <w:p w14:paraId="04AC1C60"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 xml:space="preserve">Fabrizio </w:t>
      </w:r>
      <w:proofErr w:type="spellStart"/>
      <w:r w:rsidRPr="00422A49">
        <w:rPr>
          <w:rFonts w:cstheme="minorHAnsi"/>
          <w:b/>
          <w:bCs/>
          <w:sz w:val="20"/>
          <w:szCs w:val="20"/>
        </w:rPr>
        <w:t>Ossani</w:t>
      </w:r>
      <w:proofErr w:type="spellEnd"/>
      <w:r w:rsidRPr="00422A49">
        <w:rPr>
          <w:rFonts w:cstheme="minorHAnsi"/>
          <w:sz w:val="20"/>
          <w:szCs w:val="20"/>
        </w:rPr>
        <w:t xml:space="preserve"> - </w:t>
      </w:r>
      <w:proofErr w:type="spellStart"/>
      <w:r w:rsidRPr="00422A49">
        <w:rPr>
          <w:rFonts w:cstheme="minorHAnsi"/>
          <w:sz w:val="20"/>
          <w:szCs w:val="20"/>
        </w:rPr>
        <w:t>Federtrasporti</w:t>
      </w:r>
      <w:proofErr w:type="spellEnd"/>
      <w:r w:rsidRPr="00422A49">
        <w:rPr>
          <w:rFonts w:cstheme="minorHAnsi"/>
          <w:sz w:val="20"/>
          <w:szCs w:val="20"/>
        </w:rPr>
        <w:t> </w:t>
      </w:r>
    </w:p>
    <w:p w14:paraId="59C9450C"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Massimo Panagia</w:t>
      </w:r>
      <w:r w:rsidRPr="00422A49">
        <w:rPr>
          <w:rFonts w:cstheme="minorHAnsi"/>
          <w:sz w:val="20"/>
          <w:szCs w:val="20"/>
        </w:rPr>
        <w:t> - Francia Latticini</w:t>
      </w:r>
    </w:p>
    <w:p w14:paraId="196AC3B7"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Massimiliano Perri</w:t>
      </w:r>
      <w:r w:rsidRPr="00422A49">
        <w:rPr>
          <w:rFonts w:cstheme="minorHAnsi"/>
          <w:sz w:val="20"/>
          <w:szCs w:val="20"/>
        </w:rPr>
        <w:t xml:space="preserve"> - Iveco Mercato Italia</w:t>
      </w:r>
    </w:p>
    <w:p w14:paraId="2FE2FB9A"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 xml:space="preserve">Cristina </w:t>
      </w:r>
      <w:proofErr w:type="spellStart"/>
      <w:r w:rsidRPr="00422A49">
        <w:rPr>
          <w:rFonts w:cstheme="minorHAnsi"/>
          <w:b/>
          <w:bCs/>
          <w:sz w:val="20"/>
          <w:szCs w:val="20"/>
        </w:rPr>
        <w:t>Qirjaku</w:t>
      </w:r>
      <w:proofErr w:type="spellEnd"/>
      <w:r w:rsidRPr="00422A49">
        <w:rPr>
          <w:rFonts w:cstheme="minorHAnsi"/>
          <w:sz w:val="20"/>
          <w:szCs w:val="20"/>
        </w:rPr>
        <w:t xml:space="preserve"> - MIMS</w:t>
      </w:r>
    </w:p>
    <w:p w14:paraId="31DB1EA9"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Umberto Torello</w:t>
      </w:r>
      <w:r w:rsidRPr="00422A49">
        <w:rPr>
          <w:rFonts w:cstheme="minorHAnsi"/>
          <w:sz w:val="20"/>
          <w:szCs w:val="20"/>
        </w:rPr>
        <w:t xml:space="preserve"> - DIF (Distribuzione Italiana Food), </w:t>
      </w:r>
      <w:proofErr w:type="spellStart"/>
      <w:r w:rsidRPr="00422A49">
        <w:rPr>
          <w:rFonts w:cstheme="minorHAnsi"/>
          <w:sz w:val="20"/>
          <w:szCs w:val="20"/>
        </w:rPr>
        <w:t>TransfrigoRoute</w:t>
      </w:r>
      <w:proofErr w:type="spellEnd"/>
      <w:r w:rsidRPr="00422A49">
        <w:rPr>
          <w:rFonts w:cstheme="minorHAnsi"/>
          <w:sz w:val="20"/>
          <w:szCs w:val="20"/>
        </w:rPr>
        <w:t xml:space="preserve"> Italia e TN Torello</w:t>
      </w:r>
    </w:p>
    <w:p w14:paraId="3E33F975"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Paolo Uggè</w:t>
      </w:r>
      <w:r w:rsidRPr="00422A49">
        <w:rPr>
          <w:rFonts w:cstheme="minorHAnsi"/>
          <w:sz w:val="20"/>
          <w:szCs w:val="20"/>
        </w:rPr>
        <w:t xml:space="preserve"> - </w:t>
      </w:r>
      <w:proofErr w:type="spellStart"/>
      <w:r w:rsidRPr="00422A49">
        <w:rPr>
          <w:rFonts w:cstheme="minorHAnsi"/>
          <w:sz w:val="20"/>
          <w:szCs w:val="20"/>
        </w:rPr>
        <w:t>Conftrasporto</w:t>
      </w:r>
      <w:proofErr w:type="spellEnd"/>
    </w:p>
    <w:p w14:paraId="6AF5E2F4" w14:textId="77777777" w:rsidR="00422A49" w:rsidRPr="00422A49" w:rsidRDefault="00422A49" w:rsidP="00422A49">
      <w:pPr>
        <w:numPr>
          <w:ilvl w:val="0"/>
          <w:numId w:val="3"/>
        </w:numPr>
        <w:spacing w:after="0" w:line="240" w:lineRule="auto"/>
        <w:jc w:val="both"/>
        <w:rPr>
          <w:rFonts w:cstheme="minorHAnsi"/>
          <w:sz w:val="20"/>
          <w:szCs w:val="20"/>
        </w:rPr>
      </w:pPr>
      <w:r w:rsidRPr="00422A49">
        <w:rPr>
          <w:rFonts w:cstheme="minorHAnsi"/>
          <w:b/>
          <w:bCs/>
          <w:sz w:val="20"/>
          <w:szCs w:val="20"/>
        </w:rPr>
        <w:t>Fabrizia Vigo</w:t>
      </w:r>
      <w:r w:rsidRPr="00422A49">
        <w:rPr>
          <w:rFonts w:cstheme="minorHAnsi"/>
          <w:sz w:val="20"/>
          <w:szCs w:val="20"/>
        </w:rPr>
        <w:t> - ANFIA</w:t>
      </w:r>
    </w:p>
    <w:p w14:paraId="1674617F" w14:textId="2FA5C8D3" w:rsidR="0031062F" w:rsidRPr="00422A49" w:rsidRDefault="00422A49" w:rsidP="00422A49">
      <w:pPr>
        <w:spacing w:after="0" w:line="240" w:lineRule="auto"/>
        <w:jc w:val="both"/>
        <w:rPr>
          <w:rFonts w:cstheme="minorHAnsi"/>
          <w:sz w:val="20"/>
          <w:szCs w:val="20"/>
        </w:rPr>
      </w:pPr>
      <w:hyperlink r:id="rId9" w:history="1">
        <w:r w:rsidRPr="00422A49">
          <w:rPr>
            <w:rStyle w:val="Collegamentoipertestuale"/>
            <w:rFonts w:asciiTheme="minorHAnsi" w:hAnsiTheme="minorHAnsi" w:cstheme="minorHAnsi"/>
            <w:sz w:val="20"/>
            <w:szCs w:val="20"/>
          </w:rPr>
          <w:t>https://oitaf.com/chi-siamo</w:t>
        </w:r>
      </w:hyperlink>
      <w:r w:rsidRPr="00422A49">
        <w:rPr>
          <w:rFonts w:cstheme="minorHAnsi"/>
          <w:sz w:val="20"/>
          <w:szCs w:val="20"/>
        </w:rPr>
        <w:t xml:space="preserve">. </w:t>
      </w:r>
    </w:p>
    <w:sectPr w:rsidR="0031062F" w:rsidRPr="00422A4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3D8A"/>
    <w:multiLevelType w:val="multilevel"/>
    <w:tmpl w:val="522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22958"/>
    <w:multiLevelType w:val="multilevel"/>
    <w:tmpl w:val="A82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D0B3B"/>
    <w:multiLevelType w:val="multilevel"/>
    <w:tmpl w:val="0DBE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18067">
    <w:abstractNumId w:val="2"/>
  </w:num>
  <w:num w:numId="2" w16cid:durableId="1499926752">
    <w:abstractNumId w:val="0"/>
  </w:num>
  <w:num w:numId="3" w16cid:durableId="7956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B86"/>
    <w:rsid w:val="001D25EA"/>
    <w:rsid w:val="0031062F"/>
    <w:rsid w:val="003605E3"/>
    <w:rsid w:val="00375F4B"/>
    <w:rsid w:val="003811E4"/>
    <w:rsid w:val="00422A49"/>
    <w:rsid w:val="00592227"/>
    <w:rsid w:val="00653982"/>
    <w:rsid w:val="008C046B"/>
    <w:rsid w:val="009E0CFF"/>
    <w:rsid w:val="00C71CAA"/>
    <w:rsid w:val="00CD1B86"/>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8A6C"/>
  <w15:chartTrackingRefBased/>
  <w15:docId w15:val="{3A640AD6-B906-4DD0-8601-BDA3962F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25EA"/>
  </w:style>
  <w:style w:type="paragraph" w:styleId="Titolo1">
    <w:name w:val="heading 1"/>
    <w:basedOn w:val="Normale"/>
    <w:next w:val="Normale"/>
    <w:link w:val="Titolo1Carattere"/>
    <w:uiPriority w:val="9"/>
    <w:qFormat/>
    <w:rsid w:val="00CD1B8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D1B8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D1B8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D1B8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D1B8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D1B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D1B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D1B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D1B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1B8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D1B8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D1B8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D1B8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D1B8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D1B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D1B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D1B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D1B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D1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D1B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D1B8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D1B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D1B8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D1B86"/>
    <w:rPr>
      <w:i/>
      <w:iCs/>
      <w:color w:val="404040" w:themeColor="text1" w:themeTint="BF"/>
    </w:rPr>
  </w:style>
  <w:style w:type="paragraph" w:styleId="Paragrafoelenco">
    <w:name w:val="List Paragraph"/>
    <w:basedOn w:val="Normale"/>
    <w:uiPriority w:val="34"/>
    <w:qFormat/>
    <w:rsid w:val="00CD1B86"/>
    <w:pPr>
      <w:ind w:left="720"/>
      <w:contextualSpacing/>
    </w:pPr>
  </w:style>
  <w:style w:type="character" w:styleId="Enfasiintensa">
    <w:name w:val="Intense Emphasis"/>
    <w:basedOn w:val="Carpredefinitoparagrafo"/>
    <w:uiPriority w:val="21"/>
    <w:qFormat/>
    <w:rsid w:val="00CD1B86"/>
    <w:rPr>
      <w:i/>
      <w:iCs/>
      <w:color w:val="365F91" w:themeColor="accent1" w:themeShade="BF"/>
    </w:rPr>
  </w:style>
  <w:style w:type="paragraph" w:styleId="Citazioneintensa">
    <w:name w:val="Intense Quote"/>
    <w:basedOn w:val="Normale"/>
    <w:next w:val="Normale"/>
    <w:link w:val="CitazioneintensaCarattere"/>
    <w:uiPriority w:val="30"/>
    <w:qFormat/>
    <w:rsid w:val="00CD1B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D1B86"/>
    <w:rPr>
      <w:i/>
      <w:iCs/>
      <w:color w:val="365F91" w:themeColor="accent1" w:themeShade="BF"/>
    </w:rPr>
  </w:style>
  <w:style w:type="character" w:styleId="Riferimentointenso">
    <w:name w:val="Intense Reference"/>
    <w:basedOn w:val="Carpredefinitoparagrafo"/>
    <w:uiPriority w:val="32"/>
    <w:qFormat/>
    <w:rsid w:val="00CD1B86"/>
    <w:rPr>
      <w:b/>
      <w:bCs/>
      <w:smallCaps/>
      <w:color w:val="365F91" w:themeColor="accent1" w:themeShade="BF"/>
      <w:spacing w:val="5"/>
    </w:rPr>
  </w:style>
  <w:style w:type="character" w:styleId="Collegamentoipertestuale">
    <w:name w:val="Hyperlink"/>
    <w:rsid w:val="001D25EA"/>
    <w:rPr>
      <w:rFonts w:ascii="Times New Roman" w:hAnsi="Times New Roman" w:cs="Times New Roman" w:hint="default"/>
      <w:color w:val="0000FF"/>
      <w:u w:val="single"/>
    </w:rPr>
  </w:style>
  <w:style w:type="character" w:styleId="Menzionenonrisolta">
    <w:name w:val="Unresolved Mention"/>
    <w:basedOn w:val="Carpredefinitoparagrafo"/>
    <w:uiPriority w:val="99"/>
    <w:semiHidden/>
    <w:unhideWhenUsed/>
    <w:rsid w:val="001D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243000">
      <w:bodyDiv w:val="1"/>
      <w:marLeft w:val="0"/>
      <w:marRight w:val="0"/>
      <w:marTop w:val="0"/>
      <w:marBottom w:val="0"/>
      <w:divBdr>
        <w:top w:val="none" w:sz="0" w:space="0" w:color="auto"/>
        <w:left w:val="none" w:sz="0" w:space="0" w:color="auto"/>
        <w:bottom w:val="none" w:sz="0" w:space="0" w:color="auto"/>
        <w:right w:val="none" w:sz="0" w:space="0" w:color="auto"/>
      </w:divBdr>
      <w:divsChild>
        <w:div w:id="1198003783">
          <w:marLeft w:val="0"/>
          <w:marRight w:val="0"/>
          <w:marTop w:val="0"/>
          <w:marBottom w:val="0"/>
          <w:divBdr>
            <w:top w:val="none" w:sz="0" w:space="0" w:color="auto"/>
            <w:left w:val="none" w:sz="0" w:space="0" w:color="auto"/>
            <w:bottom w:val="none" w:sz="0" w:space="0" w:color="auto"/>
            <w:right w:val="none" w:sz="0" w:space="0" w:color="auto"/>
          </w:divBdr>
          <w:divsChild>
            <w:div w:id="1373264465">
              <w:marLeft w:val="0"/>
              <w:marRight w:val="0"/>
              <w:marTop w:val="0"/>
              <w:marBottom w:val="0"/>
              <w:divBdr>
                <w:top w:val="none" w:sz="0" w:space="0" w:color="auto"/>
                <w:left w:val="none" w:sz="0" w:space="0" w:color="auto"/>
                <w:bottom w:val="none" w:sz="0" w:space="0" w:color="auto"/>
                <w:right w:val="none" w:sz="0" w:space="0" w:color="auto"/>
              </w:divBdr>
            </w:div>
            <w:div w:id="1920098857">
              <w:marLeft w:val="0"/>
              <w:marRight w:val="0"/>
              <w:marTop w:val="0"/>
              <w:marBottom w:val="0"/>
              <w:divBdr>
                <w:top w:val="none" w:sz="0" w:space="0" w:color="auto"/>
                <w:left w:val="none" w:sz="0" w:space="0" w:color="auto"/>
                <w:bottom w:val="none" w:sz="0" w:space="0" w:color="auto"/>
                <w:right w:val="none" w:sz="0" w:space="0" w:color="auto"/>
              </w:divBdr>
            </w:div>
            <w:div w:id="1419255129">
              <w:marLeft w:val="0"/>
              <w:marRight w:val="0"/>
              <w:marTop w:val="0"/>
              <w:marBottom w:val="0"/>
              <w:divBdr>
                <w:top w:val="none" w:sz="0" w:space="0" w:color="auto"/>
                <w:left w:val="none" w:sz="0" w:space="0" w:color="auto"/>
                <w:bottom w:val="none" w:sz="0" w:space="0" w:color="auto"/>
                <w:right w:val="none" w:sz="0" w:space="0" w:color="auto"/>
              </w:divBdr>
            </w:div>
            <w:div w:id="18913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3595">
      <w:bodyDiv w:val="1"/>
      <w:marLeft w:val="0"/>
      <w:marRight w:val="0"/>
      <w:marTop w:val="0"/>
      <w:marBottom w:val="0"/>
      <w:divBdr>
        <w:top w:val="none" w:sz="0" w:space="0" w:color="auto"/>
        <w:left w:val="none" w:sz="0" w:space="0" w:color="auto"/>
        <w:bottom w:val="none" w:sz="0" w:space="0" w:color="auto"/>
        <w:right w:val="none" w:sz="0" w:space="0" w:color="auto"/>
      </w:divBdr>
      <w:divsChild>
        <w:div w:id="1166749364">
          <w:marLeft w:val="0"/>
          <w:marRight w:val="0"/>
          <w:marTop w:val="0"/>
          <w:marBottom w:val="0"/>
          <w:divBdr>
            <w:top w:val="none" w:sz="0" w:space="0" w:color="auto"/>
            <w:left w:val="none" w:sz="0" w:space="0" w:color="auto"/>
            <w:bottom w:val="none" w:sz="0" w:space="0" w:color="auto"/>
            <w:right w:val="none" w:sz="0" w:space="0" w:color="auto"/>
          </w:divBdr>
          <w:divsChild>
            <w:div w:id="1855876401">
              <w:marLeft w:val="0"/>
              <w:marRight w:val="0"/>
              <w:marTop w:val="0"/>
              <w:marBottom w:val="0"/>
              <w:divBdr>
                <w:top w:val="none" w:sz="0" w:space="0" w:color="auto"/>
                <w:left w:val="none" w:sz="0" w:space="0" w:color="auto"/>
                <w:bottom w:val="none" w:sz="0" w:space="0" w:color="auto"/>
                <w:right w:val="none" w:sz="0" w:space="0" w:color="auto"/>
              </w:divBdr>
            </w:div>
            <w:div w:id="473834596">
              <w:marLeft w:val="0"/>
              <w:marRight w:val="0"/>
              <w:marTop w:val="0"/>
              <w:marBottom w:val="0"/>
              <w:divBdr>
                <w:top w:val="none" w:sz="0" w:space="0" w:color="auto"/>
                <w:left w:val="none" w:sz="0" w:space="0" w:color="auto"/>
                <w:bottom w:val="none" w:sz="0" w:space="0" w:color="auto"/>
                <w:right w:val="none" w:sz="0" w:space="0" w:color="auto"/>
              </w:divBdr>
            </w:div>
            <w:div w:id="399717939">
              <w:marLeft w:val="0"/>
              <w:marRight w:val="0"/>
              <w:marTop w:val="0"/>
              <w:marBottom w:val="0"/>
              <w:divBdr>
                <w:top w:val="none" w:sz="0" w:space="0" w:color="auto"/>
                <w:left w:val="none" w:sz="0" w:space="0" w:color="auto"/>
                <w:bottom w:val="none" w:sz="0" w:space="0" w:color="auto"/>
                <w:right w:val="none" w:sz="0" w:space="0" w:color="auto"/>
              </w:divBdr>
            </w:div>
            <w:div w:id="1288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af.com/rivista/"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itaf.com/chi-si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4</cp:revision>
  <dcterms:created xsi:type="dcterms:W3CDTF">2025-03-02T05:11:00Z</dcterms:created>
  <dcterms:modified xsi:type="dcterms:W3CDTF">2025-03-02T06:24:00Z</dcterms:modified>
</cp:coreProperties>
</file>