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81145" w14:textId="34E622BB" w:rsidR="00E96587" w:rsidRPr="00E96587" w:rsidRDefault="00E96587" w:rsidP="00E9658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91897379"/>
      <w:bookmarkStart w:id="1" w:name="_Hlk191910834"/>
      <w:r w:rsidRPr="00E96587">
        <w:rPr>
          <w:rFonts w:asciiTheme="minorHAnsi" w:hAnsiTheme="minorHAnsi" w:cstheme="minorHAnsi"/>
          <w:b/>
          <w:color w:val="C00000"/>
          <w:sz w:val="44"/>
          <w:szCs w:val="44"/>
        </w:rPr>
        <w:t>F4440</w:t>
      </w:r>
      <w:r w:rsidRPr="00E96587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E96587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E96587">
        <w:rPr>
          <w:rFonts w:asciiTheme="minorHAnsi" w:hAnsiTheme="minorHAnsi" w:cstheme="minorHAnsi"/>
          <w:b/>
          <w:sz w:val="16"/>
          <w:szCs w:val="16"/>
        </w:rPr>
        <w:tab/>
      </w:r>
      <w:r w:rsidRPr="00E96587">
        <w:rPr>
          <w:rFonts w:asciiTheme="minorHAnsi" w:hAnsiTheme="minorHAnsi" w:cstheme="minorHAnsi"/>
          <w:b/>
          <w:sz w:val="16"/>
          <w:szCs w:val="16"/>
        </w:rPr>
        <w:tab/>
      </w:r>
      <w:r w:rsidRPr="00E96587">
        <w:rPr>
          <w:rFonts w:asciiTheme="minorHAnsi" w:hAnsiTheme="minorHAnsi" w:cstheme="minorHAnsi"/>
          <w:b/>
          <w:sz w:val="16"/>
          <w:szCs w:val="16"/>
        </w:rPr>
        <w:tab/>
      </w:r>
      <w:r w:rsidRPr="00E96587">
        <w:rPr>
          <w:rFonts w:asciiTheme="minorHAnsi" w:hAnsiTheme="minorHAnsi" w:cstheme="minorHAnsi"/>
          <w:b/>
          <w:sz w:val="16"/>
          <w:szCs w:val="16"/>
        </w:rPr>
        <w:tab/>
      </w:r>
      <w:r w:rsidRPr="00E96587">
        <w:rPr>
          <w:rFonts w:asciiTheme="minorHAnsi" w:hAnsiTheme="minorHAnsi" w:cstheme="minorHAnsi"/>
          <w:b/>
          <w:sz w:val="16"/>
          <w:szCs w:val="16"/>
        </w:rPr>
        <w:tab/>
      </w:r>
      <w:r w:rsidRPr="00E96587">
        <w:rPr>
          <w:rFonts w:asciiTheme="minorHAnsi" w:hAnsiTheme="minorHAnsi" w:cstheme="minorHAnsi"/>
          <w:b/>
          <w:sz w:val="16"/>
          <w:szCs w:val="16"/>
        </w:rPr>
        <w:tab/>
      </w:r>
      <w:r w:rsidRPr="00E96587">
        <w:rPr>
          <w:rFonts w:asciiTheme="minorHAnsi" w:hAnsiTheme="minorHAnsi" w:cstheme="minorHAnsi"/>
          <w:b/>
          <w:sz w:val="16"/>
          <w:szCs w:val="16"/>
        </w:rPr>
        <w:tab/>
      </w:r>
      <w:r w:rsidRPr="00E96587">
        <w:rPr>
          <w:rFonts w:asciiTheme="minorHAnsi" w:hAnsiTheme="minorHAnsi" w:cstheme="minorHAnsi"/>
          <w:i/>
          <w:sz w:val="16"/>
          <w:szCs w:val="16"/>
        </w:rPr>
        <w:t>Scheda creata il 4 marzo 2025</w:t>
      </w:r>
    </w:p>
    <w:p w14:paraId="1897C656" w14:textId="77777777" w:rsidR="00E96587" w:rsidRPr="00E96587" w:rsidRDefault="00E96587" w:rsidP="00E96587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5EB865F" w14:textId="3D356695" w:rsidR="00E96587" w:rsidRPr="00E96587" w:rsidRDefault="00E96587" w:rsidP="00E9658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191897398"/>
      <w:bookmarkEnd w:id="0"/>
      <w:r w:rsidRPr="00E9658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0" locked="0" layoutInCell="1" allowOverlap="1" wp14:anchorId="36EB357B" wp14:editId="48B0786F">
            <wp:simplePos x="0" y="0"/>
            <wp:positionH relativeFrom="column">
              <wp:posOffset>36830</wp:posOffset>
            </wp:positionH>
            <wp:positionV relativeFrom="paragraph">
              <wp:posOffset>-2540</wp:posOffset>
            </wp:positionV>
            <wp:extent cx="2797200" cy="3960000"/>
            <wp:effectExtent l="0" t="0" r="3175" b="2540"/>
            <wp:wrapSquare wrapText="bothSides"/>
            <wp:docPr id="270161108" name="Immagine 2" descr="Immagine che contiene testo, albero, libro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61108" name="Immagine 2" descr="Immagine che contiene testo, albero, libro, schermat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587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5D9B12C" w14:textId="617B4012" w:rsidR="00E96587" w:rsidRPr="00E96587" w:rsidRDefault="00E96587" w:rsidP="00E96587">
      <w:pPr>
        <w:jc w:val="both"/>
        <w:rPr>
          <w:rFonts w:asciiTheme="minorHAnsi" w:hAnsiTheme="minorHAnsi" w:cstheme="minorHAnsi"/>
          <w:sz w:val="30"/>
          <w:szCs w:val="30"/>
        </w:rPr>
      </w:pPr>
      <w:bookmarkStart w:id="3" w:name="anchor4983"/>
      <w:bookmarkEnd w:id="1"/>
      <w:bookmarkEnd w:id="2"/>
      <w:bookmarkEnd w:id="3"/>
      <w:r w:rsidRPr="00E96587">
        <w:rPr>
          <w:rFonts w:asciiTheme="minorHAnsi" w:hAnsiTheme="minorHAnsi" w:cstheme="minorHAnsi"/>
          <w:b/>
          <w:sz w:val="30"/>
          <w:szCs w:val="30"/>
        </w:rPr>
        <w:t>*</w:t>
      </w:r>
      <w:proofErr w:type="gramStart"/>
      <w:r w:rsidRPr="00E96587">
        <w:rPr>
          <w:rFonts w:asciiTheme="minorHAnsi" w:hAnsiTheme="minorHAnsi" w:cstheme="minorHAnsi"/>
          <w:b/>
          <w:sz w:val="30"/>
          <w:szCs w:val="30"/>
        </w:rPr>
        <w:t xml:space="preserve">Tevere </w:t>
      </w:r>
      <w:r w:rsidRPr="00E96587">
        <w:rPr>
          <w:rFonts w:asciiTheme="minorHAnsi" w:hAnsiTheme="minorHAnsi" w:cstheme="minorHAnsi"/>
          <w:sz w:val="30"/>
          <w:szCs w:val="30"/>
        </w:rPr>
        <w:t>:</w:t>
      </w:r>
      <w:proofErr w:type="gramEnd"/>
      <w:r w:rsidRPr="00E96587">
        <w:rPr>
          <w:rFonts w:asciiTheme="minorHAnsi" w:hAnsiTheme="minorHAnsi" w:cstheme="minorHAnsi"/>
          <w:sz w:val="30"/>
          <w:szCs w:val="30"/>
        </w:rPr>
        <w:t xml:space="preserve"> rivista quadrimestrale dell'Autorità Bacino del Tevere. - Anno 1, n. 1 (</w:t>
      </w:r>
      <w:proofErr w:type="gramStart"/>
      <w:r w:rsidRPr="00E96587">
        <w:rPr>
          <w:rFonts w:asciiTheme="minorHAnsi" w:hAnsiTheme="minorHAnsi" w:cstheme="minorHAnsi"/>
          <w:sz w:val="30"/>
          <w:szCs w:val="30"/>
        </w:rPr>
        <w:t>1996)-</w:t>
      </w:r>
      <w:proofErr w:type="gramEnd"/>
      <w:r w:rsidRPr="00E96587">
        <w:rPr>
          <w:rFonts w:asciiTheme="minorHAnsi" w:hAnsiTheme="minorHAnsi" w:cstheme="minorHAnsi"/>
          <w:sz w:val="30"/>
          <w:szCs w:val="30"/>
        </w:rPr>
        <w:t>anno 10 (2006)</w:t>
      </w:r>
      <w:r w:rsidRPr="00E96587">
        <w:rPr>
          <w:rFonts w:asciiTheme="minorHAnsi" w:hAnsiTheme="minorHAnsi" w:cstheme="minorHAnsi"/>
          <w:sz w:val="30"/>
          <w:szCs w:val="30"/>
        </w:rPr>
        <w:t xml:space="preserve">. - </w:t>
      </w:r>
      <w:proofErr w:type="gramStart"/>
      <w:r w:rsidRPr="00E96587">
        <w:rPr>
          <w:rFonts w:asciiTheme="minorHAnsi" w:hAnsiTheme="minorHAnsi" w:cstheme="minorHAnsi"/>
          <w:sz w:val="30"/>
          <w:szCs w:val="30"/>
        </w:rPr>
        <w:t>Roma :</w:t>
      </w:r>
      <w:proofErr w:type="gramEnd"/>
      <w:r w:rsidRPr="00E96587">
        <w:rPr>
          <w:rFonts w:asciiTheme="minorHAnsi" w:hAnsiTheme="minorHAnsi" w:cstheme="minorHAnsi"/>
          <w:sz w:val="30"/>
          <w:szCs w:val="30"/>
        </w:rPr>
        <w:t xml:space="preserve"> Gangemi, 1996-2006. – </w:t>
      </w:r>
      <w:r w:rsidRPr="00E96587">
        <w:rPr>
          <w:rFonts w:asciiTheme="minorHAnsi" w:hAnsiTheme="minorHAnsi" w:cstheme="minorHAnsi"/>
          <w:sz w:val="30"/>
          <w:szCs w:val="30"/>
        </w:rPr>
        <w:t>24</w:t>
      </w:r>
      <w:r w:rsidRPr="00E96587">
        <w:rPr>
          <w:rFonts w:asciiTheme="minorHAnsi" w:hAnsiTheme="minorHAnsi" w:cstheme="minorHAnsi"/>
          <w:sz w:val="30"/>
          <w:szCs w:val="30"/>
        </w:rPr>
        <w:t xml:space="preserve"> volumi: </w:t>
      </w:r>
      <w:proofErr w:type="gramStart"/>
      <w:r w:rsidRPr="00E96587">
        <w:rPr>
          <w:rFonts w:asciiTheme="minorHAnsi" w:hAnsiTheme="minorHAnsi" w:cstheme="minorHAnsi"/>
          <w:sz w:val="30"/>
          <w:szCs w:val="30"/>
        </w:rPr>
        <w:t>ill. ;</w:t>
      </w:r>
      <w:proofErr w:type="gramEnd"/>
      <w:r w:rsidRPr="00E96587">
        <w:rPr>
          <w:rFonts w:asciiTheme="minorHAnsi" w:hAnsiTheme="minorHAnsi" w:cstheme="minorHAnsi"/>
          <w:sz w:val="30"/>
          <w:szCs w:val="30"/>
        </w:rPr>
        <w:t xml:space="preserve"> 30 cm. ((Dal 2001 complemento del titolo: rivista trimestrale dell'Autorità Bacino del Tevere. </w:t>
      </w:r>
      <w:r w:rsidRPr="00E96587">
        <w:rPr>
          <w:rFonts w:asciiTheme="minorHAnsi" w:hAnsiTheme="minorHAnsi" w:cstheme="minorHAnsi"/>
          <w:sz w:val="30"/>
          <w:szCs w:val="30"/>
        </w:rPr>
        <w:t>–</w:t>
      </w:r>
      <w:r w:rsidRPr="00E96587">
        <w:rPr>
          <w:rFonts w:asciiTheme="minorHAnsi" w:hAnsiTheme="minorHAnsi" w:cstheme="minorHAnsi"/>
          <w:sz w:val="30"/>
          <w:szCs w:val="30"/>
        </w:rPr>
        <w:t xml:space="preserve"> </w:t>
      </w:r>
      <w:r w:rsidRPr="00E96587">
        <w:rPr>
          <w:rFonts w:asciiTheme="minorHAnsi" w:hAnsiTheme="minorHAnsi" w:cstheme="minorHAnsi"/>
          <w:sz w:val="30"/>
          <w:szCs w:val="30"/>
        </w:rPr>
        <w:t xml:space="preserve">Tutte le copertine a: </w:t>
      </w:r>
      <w:hyperlink r:id="rId6" w:history="1">
        <w:r w:rsidRPr="00E96587">
          <w:rPr>
            <w:rStyle w:val="Collegamentoipertestuale"/>
            <w:rFonts w:asciiTheme="minorHAnsi" w:hAnsiTheme="minorHAnsi" w:cstheme="minorHAnsi"/>
            <w:sz w:val="30"/>
            <w:szCs w:val="30"/>
          </w:rPr>
          <w:t>https://gangemi.com/collana/periodici/tevere/</w:t>
        </w:r>
      </w:hyperlink>
      <w:r w:rsidRPr="00E96587">
        <w:rPr>
          <w:rFonts w:asciiTheme="minorHAnsi" w:hAnsiTheme="minorHAnsi" w:cstheme="minorHAnsi"/>
          <w:sz w:val="30"/>
          <w:szCs w:val="30"/>
        </w:rPr>
        <w:t xml:space="preserve">. - </w:t>
      </w:r>
      <w:r w:rsidRPr="00E96587">
        <w:rPr>
          <w:rFonts w:asciiTheme="minorHAnsi" w:hAnsiTheme="minorHAnsi" w:cstheme="minorHAnsi"/>
          <w:sz w:val="30"/>
          <w:szCs w:val="30"/>
        </w:rPr>
        <w:t>ISSN 1592-8594. - CFI0324520</w:t>
      </w:r>
    </w:p>
    <w:p w14:paraId="6B6EE45C" w14:textId="77777777" w:rsidR="00E96587" w:rsidRPr="00E96587" w:rsidRDefault="00E96587" w:rsidP="00E96587">
      <w:pPr>
        <w:jc w:val="both"/>
        <w:rPr>
          <w:rFonts w:asciiTheme="minorHAnsi" w:hAnsiTheme="minorHAnsi" w:cstheme="minorHAnsi"/>
          <w:sz w:val="30"/>
          <w:szCs w:val="30"/>
        </w:rPr>
      </w:pPr>
      <w:r w:rsidRPr="00E96587">
        <w:rPr>
          <w:rFonts w:asciiTheme="minorHAnsi" w:hAnsiTheme="minorHAnsi" w:cstheme="minorHAnsi"/>
          <w:sz w:val="30"/>
          <w:szCs w:val="30"/>
        </w:rPr>
        <w:t>Autore: Autorità di bacino del fiume Tevere</w:t>
      </w:r>
    </w:p>
    <w:p w14:paraId="183B9589" w14:textId="77777777" w:rsidR="00E96587" w:rsidRPr="00E96587" w:rsidRDefault="00E96587" w:rsidP="00E96587">
      <w:pPr>
        <w:jc w:val="both"/>
        <w:rPr>
          <w:rFonts w:asciiTheme="minorHAnsi" w:hAnsiTheme="minorHAnsi" w:cstheme="minorHAnsi"/>
          <w:sz w:val="30"/>
          <w:szCs w:val="30"/>
        </w:rPr>
      </w:pPr>
      <w:r w:rsidRPr="00E96587">
        <w:rPr>
          <w:rFonts w:asciiTheme="minorHAnsi" w:hAnsiTheme="minorHAnsi" w:cstheme="minorHAnsi"/>
          <w:sz w:val="30"/>
          <w:szCs w:val="30"/>
        </w:rPr>
        <w:t>Soggetto: Tevere &lt;bacino&gt; - Protezione - Periodici</w:t>
      </w:r>
    </w:p>
    <w:p w14:paraId="40E462D7" w14:textId="77777777" w:rsidR="00E96587" w:rsidRPr="00E96587" w:rsidRDefault="00E96587" w:rsidP="00E96587">
      <w:pPr>
        <w:jc w:val="both"/>
        <w:rPr>
          <w:rFonts w:asciiTheme="minorHAnsi" w:hAnsiTheme="minorHAnsi" w:cstheme="minorHAnsi"/>
          <w:sz w:val="30"/>
          <w:szCs w:val="30"/>
        </w:rPr>
      </w:pPr>
      <w:r w:rsidRPr="00E96587">
        <w:rPr>
          <w:rFonts w:asciiTheme="minorHAnsi" w:hAnsiTheme="minorHAnsi" w:cstheme="minorHAnsi"/>
          <w:sz w:val="30"/>
          <w:szCs w:val="30"/>
        </w:rPr>
        <w:t>Classe: D333.73094562</w:t>
      </w:r>
    </w:p>
    <w:p w14:paraId="4268B78D" w14:textId="77777777" w:rsidR="00E96587" w:rsidRPr="00E96587" w:rsidRDefault="00E96587" w:rsidP="00E96587">
      <w:pPr>
        <w:jc w:val="both"/>
        <w:rPr>
          <w:rFonts w:asciiTheme="minorHAnsi" w:hAnsiTheme="minorHAnsi" w:cstheme="minorHAnsi"/>
        </w:rPr>
      </w:pPr>
    </w:p>
    <w:p w14:paraId="7DA5D95C" w14:textId="265D3B32" w:rsidR="00E96587" w:rsidRPr="00E96587" w:rsidRDefault="00E96587" w:rsidP="00E96587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E96587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5C6ABD53" w14:textId="77777777" w:rsidR="00E96587" w:rsidRPr="00E96587" w:rsidRDefault="00E96587" w:rsidP="00E96587">
      <w:pPr>
        <w:jc w:val="both"/>
        <w:rPr>
          <w:rFonts w:asciiTheme="minorHAnsi" w:hAnsiTheme="minorHAnsi" w:cstheme="minorHAnsi"/>
          <w:sz w:val="32"/>
          <w:szCs w:val="32"/>
        </w:rPr>
      </w:pPr>
      <w:r w:rsidRPr="00E96587">
        <w:rPr>
          <w:rFonts w:asciiTheme="minorHAnsi" w:hAnsiTheme="minorHAnsi" w:cstheme="minorHAnsi"/>
          <w:i/>
          <w:iCs/>
          <w:sz w:val="32"/>
          <w:szCs w:val="32"/>
        </w:rPr>
        <w:t>Direttore responsabile:</w:t>
      </w:r>
      <w:r w:rsidRPr="00E96587">
        <w:rPr>
          <w:rFonts w:asciiTheme="minorHAnsi" w:hAnsiTheme="minorHAnsi" w:cstheme="minorHAnsi"/>
          <w:b/>
          <w:bCs/>
          <w:sz w:val="32"/>
          <w:szCs w:val="32"/>
        </w:rPr>
        <w:t> Carlo Ferranti</w:t>
      </w:r>
    </w:p>
    <w:p w14:paraId="05EE129D" w14:textId="77777777" w:rsidR="00E96587" w:rsidRPr="00E96587" w:rsidRDefault="00E96587" w:rsidP="00E96587">
      <w:pPr>
        <w:jc w:val="both"/>
        <w:rPr>
          <w:rFonts w:asciiTheme="minorHAnsi" w:hAnsiTheme="minorHAnsi" w:cstheme="minorHAnsi"/>
          <w:sz w:val="32"/>
          <w:szCs w:val="32"/>
        </w:rPr>
      </w:pPr>
      <w:r w:rsidRPr="00E96587">
        <w:rPr>
          <w:rFonts w:asciiTheme="minorHAnsi" w:hAnsiTheme="minorHAnsi" w:cstheme="minorHAnsi"/>
          <w:i/>
          <w:iCs/>
          <w:sz w:val="32"/>
          <w:szCs w:val="32"/>
        </w:rPr>
        <w:t>Direttore scientifico:</w:t>
      </w:r>
      <w:r w:rsidRPr="00E96587">
        <w:rPr>
          <w:rFonts w:asciiTheme="minorHAnsi" w:hAnsiTheme="minorHAnsi" w:cstheme="minorHAnsi"/>
          <w:b/>
          <w:bCs/>
          <w:sz w:val="32"/>
          <w:szCs w:val="32"/>
        </w:rPr>
        <w:t> Adriano Paolella</w:t>
      </w:r>
    </w:p>
    <w:p w14:paraId="33A26A2A" w14:textId="56795E4B" w:rsidR="00E96587" w:rsidRPr="00E96587" w:rsidRDefault="00E96587" w:rsidP="00E96587">
      <w:pPr>
        <w:jc w:val="both"/>
        <w:rPr>
          <w:rFonts w:asciiTheme="minorHAnsi" w:hAnsiTheme="minorHAnsi" w:cstheme="minorHAnsi"/>
          <w:sz w:val="32"/>
          <w:szCs w:val="32"/>
        </w:rPr>
      </w:pPr>
      <w:r w:rsidRPr="00E96587">
        <w:rPr>
          <w:rFonts w:asciiTheme="minorHAnsi" w:hAnsiTheme="minorHAnsi" w:cstheme="minorHAnsi"/>
          <w:i/>
          <w:iCs/>
          <w:sz w:val="32"/>
          <w:szCs w:val="32"/>
        </w:rPr>
        <w:t>Comitato scientifico: </w:t>
      </w:r>
      <w:r w:rsidRPr="00E96587">
        <w:rPr>
          <w:rFonts w:asciiTheme="minorHAnsi" w:hAnsiTheme="minorHAnsi" w:cstheme="minorHAnsi"/>
          <w:b/>
          <w:bCs/>
          <w:sz w:val="32"/>
          <w:szCs w:val="32"/>
        </w:rPr>
        <w:t xml:space="preserve">Roberto Grappelli, Leandro </w:t>
      </w:r>
      <w:proofErr w:type="spellStart"/>
      <w:r w:rsidRPr="00E96587">
        <w:rPr>
          <w:rFonts w:asciiTheme="minorHAnsi" w:hAnsiTheme="minorHAnsi" w:cstheme="minorHAnsi"/>
          <w:b/>
          <w:bCs/>
          <w:sz w:val="32"/>
          <w:szCs w:val="32"/>
        </w:rPr>
        <w:t>Benincasi</w:t>
      </w:r>
      <w:proofErr w:type="spellEnd"/>
      <w:r w:rsidRPr="00E96587">
        <w:rPr>
          <w:rFonts w:asciiTheme="minorHAnsi" w:hAnsiTheme="minorHAnsi" w:cstheme="minorHAnsi"/>
          <w:b/>
          <w:bCs/>
          <w:sz w:val="32"/>
          <w:szCs w:val="32"/>
        </w:rPr>
        <w:t xml:space="preserve">, Paola Bertolucci, Alberto </w:t>
      </w:r>
      <w:proofErr w:type="spellStart"/>
      <w:r w:rsidRPr="00E96587">
        <w:rPr>
          <w:rFonts w:asciiTheme="minorHAnsi" w:hAnsiTheme="minorHAnsi" w:cstheme="minorHAnsi"/>
          <w:b/>
          <w:bCs/>
          <w:sz w:val="32"/>
          <w:szCs w:val="32"/>
        </w:rPr>
        <w:t>Burghignoli</w:t>
      </w:r>
      <w:proofErr w:type="spellEnd"/>
      <w:r w:rsidRPr="00E96587">
        <w:rPr>
          <w:rFonts w:asciiTheme="minorHAnsi" w:hAnsiTheme="minorHAnsi" w:cstheme="minorHAnsi"/>
          <w:b/>
          <w:bCs/>
          <w:sz w:val="32"/>
          <w:szCs w:val="32"/>
        </w:rPr>
        <w:t xml:space="preserve">, Giuliano Cervi, Giorgio Cesari, Alberto Clementi, Angelo D’Eramo, Raniero De Filippis, Roberto Guercio, Giuliano Guglielmi, Giorgio A. Gullotta, Mauro Lasagna, Luciano Marchetti, Gian Marco </w:t>
      </w:r>
      <w:proofErr w:type="spellStart"/>
      <w:r w:rsidRPr="00E96587">
        <w:rPr>
          <w:rFonts w:asciiTheme="minorHAnsi" w:hAnsiTheme="minorHAnsi" w:cstheme="minorHAnsi"/>
          <w:b/>
          <w:bCs/>
          <w:sz w:val="32"/>
          <w:szCs w:val="32"/>
        </w:rPr>
        <w:t>Margaritona</w:t>
      </w:r>
      <w:proofErr w:type="spellEnd"/>
      <w:r w:rsidRPr="00E96587">
        <w:rPr>
          <w:rFonts w:asciiTheme="minorHAnsi" w:hAnsiTheme="minorHAnsi" w:cstheme="minorHAnsi"/>
          <w:b/>
          <w:bCs/>
          <w:sz w:val="32"/>
          <w:szCs w:val="32"/>
        </w:rPr>
        <w:t xml:space="preserve">, Fausto Martinelli, </w:t>
      </w:r>
      <w:proofErr w:type="spellStart"/>
      <w:r w:rsidRPr="00E96587">
        <w:rPr>
          <w:rFonts w:asciiTheme="minorHAnsi" w:hAnsiTheme="minorHAnsi" w:cstheme="minorHAnsi"/>
          <w:b/>
          <w:bCs/>
          <w:sz w:val="32"/>
          <w:szCs w:val="32"/>
        </w:rPr>
        <w:t>Endro</w:t>
      </w:r>
      <w:proofErr w:type="spellEnd"/>
      <w:r w:rsidRPr="00E96587">
        <w:rPr>
          <w:rFonts w:asciiTheme="minorHAnsi" w:hAnsiTheme="minorHAnsi" w:cstheme="minorHAnsi"/>
          <w:b/>
          <w:bCs/>
          <w:sz w:val="32"/>
          <w:szCs w:val="32"/>
        </w:rPr>
        <w:t xml:space="preserve"> Martini, Roberto Mussapi, Giorgio Occhipinti, Vincenzo Pasquini, Ester Renella, Ettore Ricci, Fabio Tancredi, Cesare Vignoli, Angelo Viterbo</w:t>
      </w:r>
    </w:p>
    <w:p w14:paraId="78CFA020" w14:textId="77777777" w:rsidR="00E96587" w:rsidRPr="00E96587" w:rsidRDefault="00E96587" w:rsidP="00E96587">
      <w:pPr>
        <w:jc w:val="both"/>
        <w:rPr>
          <w:rFonts w:asciiTheme="minorHAnsi" w:hAnsiTheme="minorHAnsi" w:cstheme="minorHAnsi"/>
          <w:sz w:val="32"/>
          <w:szCs w:val="32"/>
        </w:rPr>
      </w:pPr>
      <w:r w:rsidRPr="00E96587">
        <w:rPr>
          <w:rFonts w:asciiTheme="minorHAnsi" w:hAnsiTheme="minorHAnsi" w:cstheme="minorHAnsi"/>
          <w:sz w:val="32"/>
          <w:szCs w:val="32"/>
        </w:rPr>
        <w:t>Un numero: € 6,20</w:t>
      </w:r>
    </w:p>
    <w:p w14:paraId="503EE7C8" w14:textId="77777777" w:rsidR="00E96587" w:rsidRPr="00E96587" w:rsidRDefault="00E96587" w:rsidP="00E96587">
      <w:pPr>
        <w:jc w:val="both"/>
        <w:rPr>
          <w:rFonts w:asciiTheme="minorHAnsi" w:hAnsiTheme="minorHAnsi" w:cstheme="minorHAnsi"/>
          <w:sz w:val="32"/>
          <w:szCs w:val="32"/>
        </w:rPr>
      </w:pPr>
      <w:r w:rsidRPr="00E96587">
        <w:rPr>
          <w:rFonts w:asciiTheme="minorHAnsi" w:hAnsiTheme="minorHAnsi" w:cstheme="minorHAnsi"/>
          <w:sz w:val="32"/>
          <w:szCs w:val="32"/>
        </w:rPr>
        <w:t>Arretrati: € 12,00</w:t>
      </w:r>
    </w:p>
    <w:p w14:paraId="184EBCC0" w14:textId="77777777" w:rsidR="00E96587" w:rsidRPr="00E96587" w:rsidRDefault="00E96587" w:rsidP="00E96587">
      <w:pPr>
        <w:jc w:val="both"/>
        <w:rPr>
          <w:rFonts w:asciiTheme="minorHAnsi" w:hAnsiTheme="minorHAnsi" w:cstheme="minorHAnsi"/>
          <w:sz w:val="32"/>
          <w:szCs w:val="32"/>
        </w:rPr>
      </w:pPr>
      <w:r w:rsidRPr="00E96587">
        <w:rPr>
          <w:rFonts w:asciiTheme="minorHAnsi" w:hAnsiTheme="minorHAnsi" w:cstheme="minorHAnsi"/>
          <w:sz w:val="32"/>
          <w:szCs w:val="32"/>
        </w:rPr>
        <w:t>Abbonamento: € 18,60</w:t>
      </w:r>
    </w:p>
    <w:p w14:paraId="1FABC41B" w14:textId="77777777" w:rsidR="00E96587" w:rsidRPr="00E96587" w:rsidRDefault="00E96587" w:rsidP="00E96587">
      <w:pPr>
        <w:jc w:val="both"/>
        <w:rPr>
          <w:rFonts w:asciiTheme="minorHAnsi" w:hAnsiTheme="minorHAnsi" w:cstheme="minorHAnsi"/>
          <w:sz w:val="32"/>
          <w:szCs w:val="32"/>
        </w:rPr>
      </w:pPr>
      <w:r w:rsidRPr="00E96587">
        <w:rPr>
          <w:rFonts w:asciiTheme="minorHAnsi" w:hAnsiTheme="minorHAnsi" w:cstheme="minorHAnsi"/>
          <w:sz w:val="32"/>
          <w:szCs w:val="32"/>
        </w:rPr>
        <w:t>Estero abbonamento: € 37,20</w:t>
      </w:r>
    </w:p>
    <w:p w14:paraId="52145827" w14:textId="327EE1FD" w:rsidR="0031062F" w:rsidRPr="00E96587" w:rsidRDefault="00E96587" w:rsidP="00E96587">
      <w:pPr>
        <w:jc w:val="both"/>
        <w:rPr>
          <w:rFonts w:asciiTheme="minorHAnsi" w:hAnsiTheme="minorHAnsi" w:cstheme="minorHAnsi"/>
        </w:rPr>
      </w:pPr>
      <w:r w:rsidRPr="00E96587">
        <w:rPr>
          <w:rFonts w:asciiTheme="minorHAnsi" w:hAnsiTheme="minorHAnsi" w:cstheme="minorHAnsi"/>
          <w:i/>
          <w:iCs/>
          <w:sz w:val="32"/>
          <w:szCs w:val="32"/>
        </w:rPr>
        <w:t>Gli arretrati sono disponibili presso l’editore al doppio del prezzo di copertina </w:t>
      </w:r>
      <w:hyperlink r:id="rId7" w:history="1">
        <w:r w:rsidRPr="00E96587">
          <w:rPr>
            <w:rStyle w:val="Collegamentoipertestuale"/>
            <w:rFonts w:asciiTheme="minorHAnsi" w:hAnsiTheme="minorHAnsi" w:cstheme="minorHAnsi"/>
            <w:i/>
            <w:iCs/>
            <w:sz w:val="32"/>
            <w:szCs w:val="32"/>
          </w:rPr>
          <w:t>https://gangemi.com/collana/periodici/tevere/</w:t>
        </w:r>
      </w:hyperlink>
    </w:p>
    <w:sectPr w:rsidR="0031062F" w:rsidRPr="00E9658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5A0E"/>
    <w:rsid w:val="00111751"/>
    <w:rsid w:val="0031062F"/>
    <w:rsid w:val="003605E3"/>
    <w:rsid w:val="00375F4B"/>
    <w:rsid w:val="003811E4"/>
    <w:rsid w:val="00653982"/>
    <w:rsid w:val="00855A0E"/>
    <w:rsid w:val="00C71CAA"/>
    <w:rsid w:val="00D544E6"/>
    <w:rsid w:val="00E84EF4"/>
    <w:rsid w:val="00E9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9931"/>
  <w15:chartTrackingRefBased/>
  <w15:docId w15:val="{25F8C2E2-E149-47DA-8662-D5BD448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65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55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5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5A0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5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5A0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5A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5A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5A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5A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5A0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5A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5A0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5A0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5A0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5A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5A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5A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5A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5A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5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5A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5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5A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5A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5A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5A0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5A0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5A0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5A0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9658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6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ngemi.com/collana/periodici/tever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angemi.com/collana/periodici/tever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78687-76E8-4F72-B4EC-1A1CE0F1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1240</Characters>
  <Application>Microsoft Office Word</Application>
  <DocSecurity>0</DocSecurity>
  <Lines>10</Lines>
  <Paragraphs>2</Paragraphs>
  <ScaleCrop>false</ScaleCrop>
  <Company>HP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2025-03-04T14:36:00Z</dcterms:created>
  <dcterms:modified xsi:type="dcterms:W3CDTF">2025-03-04T14:45:00Z</dcterms:modified>
</cp:coreProperties>
</file>