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AF0B3" w14:textId="1EABD189" w:rsidR="00FE112E" w:rsidRDefault="00FE112E" w:rsidP="00FE112E">
      <w:pPr>
        <w:spacing w:after="0" w:line="240" w:lineRule="auto"/>
        <w:jc w:val="both"/>
        <w:rPr>
          <w:rStyle w:val="Enfasigrassetto"/>
          <w:b w:val="0"/>
          <w:i/>
          <w:sz w:val="16"/>
          <w:szCs w:val="16"/>
        </w:rPr>
      </w:pPr>
      <w:bookmarkStart w:id="0" w:name="_Hlk191052433"/>
      <w:r>
        <w:rPr>
          <w:rStyle w:val="Enfasigrassetto"/>
          <w:color w:val="C00000"/>
          <w:sz w:val="44"/>
          <w:szCs w:val="44"/>
        </w:rPr>
        <w:t>XU110</w:t>
      </w:r>
      <w:r>
        <w:rPr>
          <w:rStyle w:val="Enfasigrassetto"/>
          <w:color w:val="C00000"/>
          <w:sz w:val="44"/>
          <w:szCs w:val="44"/>
        </w:rPr>
        <w:t>6</w:t>
      </w:r>
      <w:r>
        <w:rPr>
          <w:rStyle w:val="Enfasigrassetto"/>
          <w:sz w:val="44"/>
          <w:szCs w:val="44"/>
        </w:rPr>
        <w:tab/>
      </w:r>
      <w:r>
        <w:rPr>
          <w:rStyle w:val="Enfasigrassetto"/>
          <w:sz w:val="44"/>
          <w:szCs w:val="44"/>
        </w:rPr>
        <w:tab/>
      </w:r>
      <w:r>
        <w:rPr>
          <w:rStyle w:val="Enfasigrassetto"/>
          <w:sz w:val="44"/>
          <w:szCs w:val="44"/>
        </w:rPr>
        <w:tab/>
      </w:r>
      <w:r>
        <w:rPr>
          <w:rStyle w:val="Enfasigrassetto"/>
          <w:sz w:val="44"/>
          <w:szCs w:val="44"/>
        </w:rPr>
        <w:tab/>
      </w:r>
      <w:r>
        <w:rPr>
          <w:rStyle w:val="Enfasigrassetto"/>
          <w:sz w:val="44"/>
          <w:szCs w:val="44"/>
        </w:rPr>
        <w:tab/>
      </w:r>
      <w:r>
        <w:rPr>
          <w:rStyle w:val="Enfasigrassetto"/>
          <w:sz w:val="44"/>
          <w:szCs w:val="44"/>
        </w:rPr>
        <w:tab/>
      </w:r>
      <w:r>
        <w:rPr>
          <w:rStyle w:val="Enfasigrassetto"/>
          <w:sz w:val="44"/>
          <w:szCs w:val="44"/>
        </w:rPr>
        <w:tab/>
      </w:r>
      <w:r>
        <w:rPr>
          <w:rStyle w:val="Enfasigrassetto"/>
          <w:sz w:val="44"/>
          <w:szCs w:val="44"/>
        </w:rPr>
        <w:tab/>
      </w:r>
      <w:r w:rsidRPr="007A1D54">
        <w:rPr>
          <w:rStyle w:val="Enfasigrassetto"/>
          <w:b w:val="0"/>
          <w:bCs w:val="0"/>
          <w:i/>
          <w:sz w:val="16"/>
          <w:szCs w:val="16"/>
        </w:rPr>
        <w:t>Scheda creata il 2</w:t>
      </w:r>
      <w:r>
        <w:rPr>
          <w:rStyle w:val="Enfasigrassetto"/>
          <w:b w:val="0"/>
          <w:bCs w:val="0"/>
          <w:i/>
          <w:sz w:val="16"/>
          <w:szCs w:val="16"/>
        </w:rPr>
        <w:t>6</w:t>
      </w:r>
      <w:r w:rsidRPr="007A1D54">
        <w:rPr>
          <w:rStyle w:val="Enfasigrassetto"/>
          <w:b w:val="0"/>
          <w:bCs w:val="0"/>
          <w:i/>
          <w:sz w:val="16"/>
          <w:szCs w:val="16"/>
        </w:rPr>
        <w:t xml:space="preserve"> febbraio 2025</w:t>
      </w:r>
    </w:p>
    <w:p w14:paraId="442A87F8" w14:textId="1EC1A661" w:rsidR="00FE112E" w:rsidRDefault="00FE112E" w:rsidP="00FE112E">
      <w:pPr>
        <w:spacing w:after="0" w:line="240" w:lineRule="auto"/>
        <w:jc w:val="both"/>
        <w:rPr>
          <w:rStyle w:val="Enfasigrassetto"/>
          <w:color w:val="C00000"/>
          <w:sz w:val="44"/>
          <w:szCs w:val="44"/>
        </w:rPr>
      </w:pPr>
      <w:bookmarkStart w:id="1" w:name="_Hlk190966775"/>
      <w:r w:rsidRPr="005070CD">
        <w:rPr>
          <w:noProof/>
        </w:rPr>
        <w:drawing>
          <wp:inline distT="0" distB="0" distL="0" distR="0" wp14:anchorId="6C14FA5C" wp14:editId="7BD58C30">
            <wp:extent cx="2275200" cy="1440000"/>
            <wp:effectExtent l="0" t="0" r="0" b="8255"/>
            <wp:docPr id="359035111" name="Immagine 1" descr="Immagine che contiene testo, libro, interno, rileg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5111" name="Immagine 1" descr="Immagine che contiene testo, libro, interno, rilegatura&#10;&#10;Descrizione generata automaticamente"/>
                    <pic:cNvPicPr/>
                  </pic:nvPicPr>
                  <pic:blipFill>
                    <a:blip r:embed="rId5"/>
                    <a:stretch>
                      <a:fillRect/>
                    </a:stretch>
                  </pic:blipFill>
                  <pic:spPr>
                    <a:xfrm>
                      <a:off x="0" y="0"/>
                      <a:ext cx="2275200" cy="1440000"/>
                    </a:xfrm>
                    <a:prstGeom prst="rect">
                      <a:avLst/>
                    </a:prstGeom>
                  </pic:spPr>
                </pic:pic>
              </a:graphicData>
            </a:graphic>
          </wp:inline>
        </w:drawing>
      </w:r>
      <w:r>
        <w:rPr>
          <w:rStyle w:val="Enfasigrassetto"/>
          <w:noProof/>
          <w:color w:val="C00000"/>
          <w:sz w:val="44"/>
          <w:szCs w:val="44"/>
        </w:rPr>
        <w:drawing>
          <wp:inline distT="0" distB="0" distL="0" distR="0" wp14:anchorId="61E01278" wp14:editId="672E1BFA">
            <wp:extent cx="1036320" cy="1798320"/>
            <wp:effectExtent l="0" t="0" r="0" b="0"/>
            <wp:docPr id="212148547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6320" cy="1798320"/>
                    </a:xfrm>
                    <a:prstGeom prst="rect">
                      <a:avLst/>
                    </a:prstGeom>
                    <a:noFill/>
                  </pic:spPr>
                </pic:pic>
              </a:graphicData>
            </a:graphic>
          </wp:inline>
        </w:drawing>
      </w:r>
      <w:r w:rsidR="000008FB" w:rsidRPr="000008FB">
        <w:rPr>
          <w:noProof/>
        </w:rPr>
        <w:t xml:space="preserve"> </w:t>
      </w:r>
      <w:r w:rsidR="00C3450C" w:rsidRPr="00C3450C">
        <w:drawing>
          <wp:inline distT="0" distB="0" distL="0" distR="0" wp14:anchorId="64806170" wp14:editId="06188EFD">
            <wp:extent cx="1202400" cy="1800000"/>
            <wp:effectExtent l="0" t="0" r="0" b="0"/>
            <wp:docPr id="1586576844" name="Immagine 1" descr="Immagine che contiene testo, libro, letter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76844" name="Immagine 1" descr="Immagine che contiene testo, libro, lettera, Carattere&#10;&#10;Il contenuto generato dall'IA potrebbe non essere corretto."/>
                    <pic:cNvPicPr/>
                  </pic:nvPicPr>
                  <pic:blipFill>
                    <a:blip r:embed="rId7"/>
                    <a:stretch>
                      <a:fillRect/>
                    </a:stretch>
                  </pic:blipFill>
                  <pic:spPr>
                    <a:xfrm>
                      <a:off x="0" y="0"/>
                      <a:ext cx="1202400" cy="1800000"/>
                    </a:xfrm>
                    <a:prstGeom prst="rect">
                      <a:avLst/>
                    </a:prstGeom>
                  </pic:spPr>
                </pic:pic>
              </a:graphicData>
            </a:graphic>
          </wp:inline>
        </w:drawing>
      </w:r>
      <w:r w:rsidR="00CB666F" w:rsidRPr="002D413D">
        <w:t xml:space="preserve"> </w:t>
      </w:r>
      <w:r w:rsidR="002D413D" w:rsidRPr="002D413D">
        <w:t xml:space="preserve"> </w:t>
      </w:r>
      <w:r w:rsidR="000008FB" w:rsidRPr="000008FB">
        <w:drawing>
          <wp:inline distT="0" distB="0" distL="0" distR="0" wp14:anchorId="7D1DAD3C" wp14:editId="1B78C0E5">
            <wp:extent cx="1188000" cy="1800000"/>
            <wp:effectExtent l="0" t="0" r="0" b="0"/>
            <wp:docPr id="154002612" name="Immagine 1" descr="Immagine che contiene testo, menu, lib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2612" name="Immagine 1" descr="Immagine che contiene testo, menu, libro, Carattere&#10;&#10;Il contenuto generato dall'IA potrebbe non essere corretto."/>
                    <pic:cNvPicPr/>
                  </pic:nvPicPr>
                  <pic:blipFill>
                    <a:blip r:embed="rId8"/>
                    <a:stretch>
                      <a:fillRect/>
                    </a:stretch>
                  </pic:blipFill>
                  <pic:spPr>
                    <a:xfrm>
                      <a:off x="0" y="0"/>
                      <a:ext cx="1188000" cy="1800000"/>
                    </a:xfrm>
                    <a:prstGeom prst="rect">
                      <a:avLst/>
                    </a:prstGeom>
                  </pic:spPr>
                </pic:pic>
              </a:graphicData>
            </a:graphic>
          </wp:inline>
        </w:drawing>
      </w:r>
    </w:p>
    <w:p w14:paraId="5EB0DED0" w14:textId="4A6FF583" w:rsidR="00FE112E" w:rsidRPr="00A831F4" w:rsidRDefault="00FE112E" w:rsidP="00FE112E">
      <w:pPr>
        <w:spacing w:after="0" w:line="240" w:lineRule="auto"/>
        <w:jc w:val="both"/>
        <w:rPr>
          <w:rStyle w:val="Enfasigrassetto"/>
          <w:color w:val="C00000"/>
          <w:sz w:val="44"/>
          <w:szCs w:val="44"/>
        </w:rPr>
      </w:pPr>
      <w:r w:rsidRPr="00A831F4">
        <w:rPr>
          <w:rStyle w:val="Enfasigrassetto"/>
          <w:color w:val="C00000"/>
          <w:sz w:val="44"/>
          <w:szCs w:val="44"/>
        </w:rPr>
        <w:t xml:space="preserve">Descrizione </w:t>
      </w:r>
      <w:r>
        <w:rPr>
          <w:rStyle w:val="Enfasigrassetto"/>
          <w:color w:val="C00000"/>
          <w:sz w:val="44"/>
          <w:szCs w:val="44"/>
        </w:rPr>
        <w:t>storico-</w:t>
      </w:r>
      <w:r w:rsidRPr="00A831F4">
        <w:rPr>
          <w:rStyle w:val="Enfasigrassetto"/>
          <w:color w:val="C00000"/>
          <w:sz w:val="44"/>
          <w:szCs w:val="44"/>
        </w:rPr>
        <w:t>bibliografica</w:t>
      </w:r>
    </w:p>
    <w:bookmarkEnd w:id="0"/>
    <w:bookmarkEnd w:id="1"/>
    <w:p w14:paraId="3AC39879" w14:textId="77777777" w:rsidR="00FE112E" w:rsidRPr="00C3450C" w:rsidRDefault="00FE112E" w:rsidP="00FE112E">
      <w:pPr>
        <w:spacing w:after="0" w:line="240" w:lineRule="auto"/>
        <w:jc w:val="both"/>
        <w:rPr>
          <w:sz w:val="24"/>
          <w:szCs w:val="24"/>
        </w:rPr>
      </w:pPr>
      <w:r w:rsidRPr="00C3450C">
        <w:rPr>
          <w:sz w:val="24"/>
          <w:szCs w:val="24"/>
        </w:rPr>
        <w:t>La *</w:t>
      </w:r>
      <w:r w:rsidRPr="00C3450C">
        <w:rPr>
          <w:b/>
          <w:bCs/>
          <w:sz w:val="24"/>
          <w:szCs w:val="24"/>
        </w:rPr>
        <w:t>Minerva bresciana</w:t>
      </w:r>
      <w:r w:rsidRPr="00C3450C">
        <w:rPr>
          <w:sz w:val="24"/>
          <w:szCs w:val="24"/>
        </w:rPr>
        <w:t xml:space="preserve"> : almanacco per l'anno. - Brescia : </w:t>
      </w:r>
      <w:proofErr w:type="spellStart"/>
      <w:r w:rsidRPr="00C3450C">
        <w:rPr>
          <w:sz w:val="24"/>
          <w:szCs w:val="24"/>
        </w:rPr>
        <w:t>Niccolo</w:t>
      </w:r>
      <w:proofErr w:type="spellEnd"/>
      <w:r w:rsidRPr="00C3450C">
        <w:rPr>
          <w:sz w:val="24"/>
          <w:szCs w:val="24"/>
        </w:rPr>
        <w:t xml:space="preserve"> Bettoni &amp; C., [1817-1828]. – volumi. ((Descrizione basata sull'ed. 1823. - PUV0127571</w:t>
      </w:r>
    </w:p>
    <w:p w14:paraId="08C8E8F6" w14:textId="77777777" w:rsidR="00FE112E" w:rsidRPr="00C3450C" w:rsidRDefault="00FE112E" w:rsidP="00FE112E">
      <w:pPr>
        <w:spacing w:after="0" w:line="240" w:lineRule="auto"/>
        <w:jc w:val="both"/>
        <w:rPr>
          <w:sz w:val="24"/>
          <w:szCs w:val="24"/>
        </w:rPr>
      </w:pPr>
    </w:p>
    <w:p w14:paraId="3419BD9B" w14:textId="3F272127" w:rsidR="00FE112E" w:rsidRPr="00C3450C" w:rsidRDefault="00FE112E" w:rsidP="00FE112E">
      <w:pPr>
        <w:spacing w:after="0" w:line="240" w:lineRule="auto"/>
        <w:jc w:val="both"/>
        <w:rPr>
          <w:sz w:val="24"/>
          <w:szCs w:val="24"/>
        </w:rPr>
      </w:pPr>
      <w:r w:rsidRPr="00C3450C">
        <w:rPr>
          <w:sz w:val="24"/>
          <w:szCs w:val="24"/>
        </w:rPr>
        <w:t>*</w:t>
      </w:r>
      <w:r w:rsidRPr="00C3450C">
        <w:rPr>
          <w:b/>
          <w:bCs/>
          <w:sz w:val="24"/>
          <w:szCs w:val="24"/>
        </w:rPr>
        <w:t>Almanacco ufficiale della provincia bresciana</w:t>
      </w:r>
      <w:r w:rsidRPr="00C3450C">
        <w:rPr>
          <w:sz w:val="24"/>
          <w:szCs w:val="24"/>
        </w:rPr>
        <w:t>. – 1827-18</w:t>
      </w:r>
      <w:r w:rsidR="00C3450C">
        <w:rPr>
          <w:sz w:val="24"/>
          <w:szCs w:val="24"/>
        </w:rPr>
        <w:t>40</w:t>
      </w:r>
      <w:r w:rsidRPr="00C3450C">
        <w:rPr>
          <w:sz w:val="24"/>
          <w:szCs w:val="24"/>
        </w:rPr>
        <w:t>. - Brescia : Per Gaetano Venturini, 1826-183</w:t>
      </w:r>
      <w:r w:rsidR="00C3450C">
        <w:rPr>
          <w:sz w:val="24"/>
          <w:szCs w:val="24"/>
        </w:rPr>
        <w:t>9</w:t>
      </w:r>
      <w:r w:rsidRPr="00C3450C">
        <w:rPr>
          <w:sz w:val="24"/>
          <w:szCs w:val="24"/>
        </w:rPr>
        <w:t>. – volumi. - MIL0484570</w:t>
      </w:r>
    </w:p>
    <w:p w14:paraId="5A8BC550" w14:textId="77777777" w:rsidR="00FE112E" w:rsidRPr="00C3450C" w:rsidRDefault="00FE112E" w:rsidP="00FE112E">
      <w:pPr>
        <w:spacing w:after="0" w:line="240" w:lineRule="auto"/>
        <w:jc w:val="both"/>
        <w:rPr>
          <w:sz w:val="24"/>
          <w:szCs w:val="24"/>
        </w:rPr>
      </w:pPr>
    </w:p>
    <w:p w14:paraId="3F1D7E61" w14:textId="2C4FEF04" w:rsidR="00FE112E" w:rsidRPr="00C3450C" w:rsidRDefault="00FE112E" w:rsidP="00FE112E">
      <w:pPr>
        <w:spacing w:after="0" w:line="240" w:lineRule="auto"/>
        <w:jc w:val="both"/>
        <w:rPr>
          <w:sz w:val="24"/>
          <w:szCs w:val="24"/>
        </w:rPr>
      </w:pPr>
      <w:r w:rsidRPr="00C3450C">
        <w:rPr>
          <w:sz w:val="24"/>
          <w:szCs w:val="24"/>
        </w:rPr>
        <w:t>*</w:t>
      </w:r>
      <w:r w:rsidRPr="00C3450C">
        <w:rPr>
          <w:b/>
          <w:bCs/>
          <w:sz w:val="24"/>
          <w:szCs w:val="24"/>
        </w:rPr>
        <w:t>Almanacco provinciale per l'anno</w:t>
      </w:r>
      <w:r w:rsidRPr="00C3450C">
        <w:rPr>
          <w:sz w:val="24"/>
          <w:szCs w:val="24"/>
        </w:rPr>
        <w:t xml:space="preserve"> ... : con cenni d'agricoltura di </w:t>
      </w:r>
      <w:proofErr w:type="spellStart"/>
      <w:r w:rsidRPr="00C3450C">
        <w:rPr>
          <w:sz w:val="24"/>
          <w:szCs w:val="24"/>
        </w:rPr>
        <w:t>Isako</w:t>
      </w:r>
      <w:proofErr w:type="spellEnd"/>
      <w:r w:rsidRPr="00C3450C">
        <w:rPr>
          <w:sz w:val="24"/>
          <w:szCs w:val="24"/>
        </w:rPr>
        <w:t xml:space="preserve"> </w:t>
      </w:r>
      <w:proofErr w:type="spellStart"/>
      <w:r w:rsidRPr="00C3450C">
        <w:rPr>
          <w:sz w:val="24"/>
          <w:szCs w:val="24"/>
        </w:rPr>
        <w:t>Gonidigor</w:t>
      </w:r>
      <w:proofErr w:type="spellEnd"/>
      <w:r w:rsidRPr="00C3450C">
        <w:rPr>
          <w:sz w:val="24"/>
          <w:szCs w:val="24"/>
        </w:rPr>
        <w:t>. - Brescia : per Gaetano Venturini, [185</w:t>
      </w:r>
      <w:r w:rsidR="00C3450C">
        <w:rPr>
          <w:sz w:val="24"/>
          <w:szCs w:val="24"/>
        </w:rPr>
        <w:t>1</w:t>
      </w:r>
      <w:r w:rsidRPr="00C3450C">
        <w:rPr>
          <w:sz w:val="24"/>
          <w:szCs w:val="24"/>
        </w:rPr>
        <w:t xml:space="preserve">-1855]. – </w:t>
      </w:r>
      <w:r w:rsidR="00C3450C">
        <w:rPr>
          <w:sz w:val="24"/>
          <w:szCs w:val="24"/>
        </w:rPr>
        <w:t>5</w:t>
      </w:r>
      <w:r w:rsidRPr="00C3450C">
        <w:rPr>
          <w:sz w:val="24"/>
          <w:szCs w:val="24"/>
        </w:rPr>
        <w:t xml:space="preserve"> volumi ; 13 cm. ((Annuale. - Descrizione basata su: bisestile 1852. - </w:t>
      </w:r>
      <w:proofErr w:type="spellStart"/>
      <w:r w:rsidRPr="00C3450C">
        <w:rPr>
          <w:sz w:val="24"/>
          <w:szCs w:val="24"/>
        </w:rPr>
        <w:t>Cfr</w:t>
      </w:r>
      <w:proofErr w:type="spellEnd"/>
      <w:r w:rsidRPr="00C3450C">
        <w:rPr>
          <w:sz w:val="24"/>
          <w:szCs w:val="24"/>
        </w:rPr>
        <w:t xml:space="preserve"> Bibliografia dei periodici economici lombardi, 1815-1914, a cura di F. Della </w:t>
      </w:r>
      <w:proofErr w:type="spellStart"/>
      <w:r w:rsidRPr="00C3450C">
        <w:rPr>
          <w:sz w:val="24"/>
          <w:szCs w:val="24"/>
        </w:rPr>
        <w:t>Peruta</w:t>
      </w:r>
      <w:proofErr w:type="spellEnd"/>
      <w:r w:rsidRPr="00C3450C">
        <w:rPr>
          <w:sz w:val="24"/>
          <w:szCs w:val="24"/>
        </w:rPr>
        <w:t xml:space="preserve"> e </w:t>
      </w:r>
      <w:proofErr w:type="spellStart"/>
      <w:r w:rsidRPr="00C3450C">
        <w:rPr>
          <w:sz w:val="24"/>
          <w:szCs w:val="24"/>
        </w:rPr>
        <w:t>E</w:t>
      </w:r>
      <w:proofErr w:type="spellEnd"/>
      <w:r w:rsidRPr="00C3450C">
        <w:rPr>
          <w:sz w:val="24"/>
          <w:szCs w:val="24"/>
        </w:rPr>
        <w:t>. Cantarella, Milano 2005, nr. 37. - MIL0649285; PUV0126577</w:t>
      </w:r>
    </w:p>
    <w:p w14:paraId="698633CA" w14:textId="77777777" w:rsidR="00FE112E" w:rsidRPr="00C735C2" w:rsidRDefault="00FE112E" w:rsidP="00FE112E">
      <w:pPr>
        <w:spacing w:after="0" w:line="240" w:lineRule="auto"/>
        <w:jc w:val="both"/>
        <w:rPr>
          <w:sz w:val="24"/>
          <w:szCs w:val="24"/>
        </w:rPr>
      </w:pPr>
      <w:r w:rsidRPr="00C3450C">
        <w:rPr>
          <w:sz w:val="24"/>
          <w:szCs w:val="24"/>
        </w:rPr>
        <w:t xml:space="preserve">Autore; </w:t>
      </w:r>
      <w:proofErr w:type="spellStart"/>
      <w:r w:rsidRPr="00C735C2">
        <w:rPr>
          <w:sz w:val="24"/>
          <w:szCs w:val="24"/>
        </w:rPr>
        <w:t>Gonidigor</w:t>
      </w:r>
      <w:proofErr w:type="spellEnd"/>
      <w:r w:rsidRPr="00C735C2">
        <w:rPr>
          <w:sz w:val="24"/>
          <w:szCs w:val="24"/>
        </w:rPr>
        <w:t xml:space="preserve">, </w:t>
      </w:r>
      <w:proofErr w:type="spellStart"/>
      <w:r w:rsidRPr="00C735C2">
        <w:rPr>
          <w:sz w:val="24"/>
          <w:szCs w:val="24"/>
        </w:rPr>
        <w:t>Isako</w:t>
      </w:r>
      <w:proofErr w:type="spellEnd"/>
      <w:r w:rsidRPr="00C735C2">
        <w:rPr>
          <w:sz w:val="24"/>
          <w:szCs w:val="24"/>
        </w:rPr>
        <w:t xml:space="preserve"> </w:t>
      </w:r>
    </w:p>
    <w:p w14:paraId="5C7DC371" w14:textId="77777777" w:rsidR="00FE112E" w:rsidRPr="00C3450C" w:rsidRDefault="00FE112E" w:rsidP="00FE112E">
      <w:pPr>
        <w:spacing w:after="0" w:line="240" w:lineRule="auto"/>
        <w:jc w:val="both"/>
        <w:rPr>
          <w:sz w:val="24"/>
          <w:szCs w:val="24"/>
        </w:rPr>
      </w:pPr>
      <w:r w:rsidRPr="00C735C2">
        <w:rPr>
          <w:sz w:val="24"/>
          <w:szCs w:val="24"/>
        </w:rPr>
        <w:t>Editore</w:t>
      </w:r>
      <w:r w:rsidRPr="00C3450C">
        <w:rPr>
          <w:sz w:val="24"/>
          <w:szCs w:val="24"/>
        </w:rPr>
        <w:t>:</w:t>
      </w:r>
      <w:r w:rsidRPr="00C735C2">
        <w:rPr>
          <w:b/>
          <w:bCs/>
          <w:sz w:val="24"/>
          <w:szCs w:val="24"/>
        </w:rPr>
        <w:t xml:space="preserve"> </w:t>
      </w:r>
      <w:r w:rsidRPr="00C735C2">
        <w:rPr>
          <w:sz w:val="24"/>
          <w:szCs w:val="24"/>
        </w:rPr>
        <w:t xml:space="preserve">Venturini, Gaetano </w:t>
      </w:r>
    </w:p>
    <w:p w14:paraId="590075FC" w14:textId="77777777" w:rsidR="00FE112E" w:rsidRPr="00C3450C" w:rsidRDefault="00FE112E" w:rsidP="00FE112E">
      <w:pPr>
        <w:spacing w:after="0" w:line="240" w:lineRule="auto"/>
        <w:jc w:val="both"/>
        <w:rPr>
          <w:sz w:val="24"/>
          <w:szCs w:val="24"/>
        </w:rPr>
      </w:pPr>
    </w:p>
    <w:p w14:paraId="01BB31CC" w14:textId="57F3DC7D" w:rsidR="00FE112E" w:rsidRPr="00C3450C" w:rsidRDefault="00FE112E" w:rsidP="00FE112E">
      <w:pPr>
        <w:spacing w:after="0" w:line="240" w:lineRule="auto"/>
        <w:jc w:val="both"/>
        <w:rPr>
          <w:sz w:val="24"/>
          <w:szCs w:val="24"/>
        </w:rPr>
      </w:pPr>
      <w:r w:rsidRPr="00C3450C">
        <w:rPr>
          <w:sz w:val="24"/>
          <w:szCs w:val="24"/>
        </w:rPr>
        <w:t>*</w:t>
      </w:r>
      <w:r w:rsidRPr="00C3450C">
        <w:rPr>
          <w:b/>
          <w:bCs/>
          <w:sz w:val="24"/>
          <w:szCs w:val="24"/>
        </w:rPr>
        <w:t>Brescia e la sua provincia</w:t>
      </w:r>
      <w:r w:rsidRPr="00C3450C">
        <w:rPr>
          <w:sz w:val="24"/>
          <w:szCs w:val="24"/>
        </w:rPr>
        <w:t xml:space="preserve"> : guida civile ed ecclesiastica per l'anno .... – 1 (1843)-</w:t>
      </w:r>
      <w:r w:rsidR="002D413D" w:rsidRPr="00C3450C">
        <w:rPr>
          <w:sz w:val="24"/>
          <w:szCs w:val="24"/>
        </w:rPr>
        <w:t>anno 22 (1865)</w:t>
      </w:r>
      <w:r w:rsidRPr="00C3450C">
        <w:rPr>
          <w:sz w:val="24"/>
          <w:szCs w:val="24"/>
        </w:rPr>
        <w:t>. - Brescia : presso Girolamo Quadri, 1843-18</w:t>
      </w:r>
      <w:r w:rsidR="002D413D" w:rsidRPr="00C3450C">
        <w:rPr>
          <w:sz w:val="24"/>
          <w:szCs w:val="24"/>
        </w:rPr>
        <w:t>65</w:t>
      </w:r>
      <w:r w:rsidRPr="00C3450C">
        <w:rPr>
          <w:sz w:val="24"/>
          <w:szCs w:val="24"/>
        </w:rPr>
        <w:t xml:space="preserve">. </w:t>
      </w:r>
      <w:r w:rsidR="002D413D" w:rsidRPr="00C3450C">
        <w:rPr>
          <w:sz w:val="24"/>
          <w:szCs w:val="24"/>
        </w:rPr>
        <w:t>–</w:t>
      </w:r>
      <w:r w:rsidRPr="00C3450C">
        <w:rPr>
          <w:sz w:val="24"/>
          <w:szCs w:val="24"/>
        </w:rPr>
        <w:t xml:space="preserve"> </w:t>
      </w:r>
      <w:r w:rsidR="002D413D" w:rsidRPr="00C3450C">
        <w:rPr>
          <w:sz w:val="24"/>
          <w:szCs w:val="24"/>
        </w:rPr>
        <w:t xml:space="preserve">22 </w:t>
      </w:r>
      <w:r w:rsidRPr="00C3450C">
        <w:rPr>
          <w:sz w:val="24"/>
          <w:szCs w:val="24"/>
        </w:rPr>
        <w:t>volumi ; 14 cm. ((Annuale. - MIL0499518</w:t>
      </w:r>
    </w:p>
    <w:p w14:paraId="05720C25" w14:textId="72776196" w:rsidR="00FE112E" w:rsidRPr="00C3450C" w:rsidRDefault="002D413D" w:rsidP="00FE112E">
      <w:pPr>
        <w:spacing w:after="0" w:line="240" w:lineRule="auto"/>
        <w:jc w:val="both"/>
        <w:rPr>
          <w:sz w:val="24"/>
          <w:szCs w:val="24"/>
        </w:rPr>
      </w:pPr>
      <w:r w:rsidRPr="00C3450C">
        <w:rPr>
          <w:b/>
          <w:bCs/>
          <w:color w:val="C00000"/>
          <w:sz w:val="24"/>
          <w:szCs w:val="24"/>
        </w:rPr>
        <w:t>Copia digitale</w:t>
      </w:r>
      <w:r w:rsidRPr="00C3450C">
        <w:rPr>
          <w:sz w:val="24"/>
          <w:szCs w:val="24"/>
        </w:rPr>
        <w:t>:</w:t>
      </w:r>
      <w:r w:rsidR="00CB666F" w:rsidRPr="00C3450C">
        <w:rPr>
          <w:sz w:val="24"/>
          <w:szCs w:val="24"/>
        </w:rPr>
        <w:t xml:space="preserve"> </w:t>
      </w:r>
      <w:hyperlink r:id="rId9" w:history="1">
        <w:r w:rsidR="00CB666F" w:rsidRPr="00C3450C">
          <w:rPr>
            <w:rStyle w:val="Collegamentoipertestuale"/>
            <w:sz w:val="24"/>
            <w:szCs w:val="24"/>
          </w:rPr>
          <w:t>1843; 1844; 1846; 1847</w:t>
        </w:r>
        <w:r w:rsidR="00CB666F" w:rsidRPr="00C3450C">
          <w:rPr>
            <w:rStyle w:val="Collegamentoipertestuale"/>
            <w:sz w:val="24"/>
            <w:szCs w:val="24"/>
          </w:rPr>
          <w:t>; 1858; 1859</w:t>
        </w:r>
      </w:hyperlink>
    </w:p>
    <w:p w14:paraId="157E0955" w14:textId="77777777" w:rsidR="002D413D" w:rsidRPr="00C3450C" w:rsidRDefault="002D413D" w:rsidP="00FE112E">
      <w:pPr>
        <w:spacing w:after="0" w:line="240" w:lineRule="auto"/>
        <w:jc w:val="both"/>
        <w:rPr>
          <w:sz w:val="24"/>
          <w:szCs w:val="24"/>
        </w:rPr>
      </w:pPr>
    </w:p>
    <w:p w14:paraId="0348A14B" w14:textId="3ECC0571" w:rsidR="00FE112E" w:rsidRPr="00C3450C" w:rsidRDefault="00FE112E" w:rsidP="00FE112E">
      <w:pPr>
        <w:spacing w:after="0" w:line="240" w:lineRule="auto"/>
        <w:jc w:val="both"/>
        <w:rPr>
          <w:sz w:val="24"/>
          <w:szCs w:val="24"/>
        </w:rPr>
      </w:pPr>
      <w:bookmarkStart w:id="2" w:name="_Hlk191454121"/>
      <w:r w:rsidRPr="00C3450C">
        <w:rPr>
          <w:sz w:val="24"/>
          <w:szCs w:val="24"/>
        </w:rPr>
        <w:t>Soggetto: Almanacchi - Brescia &lt;prov.&gt; - 1</w:t>
      </w:r>
      <w:r w:rsidRPr="00C3450C">
        <w:rPr>
          <w:sz w:val="24"/>
          <w:szCs w:val="24"/>
        </w:rPr>
        <w:t>817</w:t>
      </w:r>
      <w:r w:rsidRPr="00C3450C">
        <w:rPr>
          <w:sz w:val="24"/>
          <w:szCs w:val="24"/>
        </w:rPr>
        <w:t>-18</w:t>
      </w:r>
      <w:r w:rsidR="002D413D" w:rsidRPr="00C3450C">
        <w:rPr>
          <w:sz w:val="24"/>
          <w:szCs w:val="24"/>
        </w:rPr>
        <w:t>65</w:t>
      </w:r>
      <w:r w:rsidRPr="00C3450C">
        <w:rPr>
          <w:sz w:val="24"/>
          <w:szCs w:val="24"/>
        </w:rPr>
        <w:t>; Brescia &lt;prov.&gt; - Guide – 1</w:t>
      </w:r>
      <w:r w:rsidRPr="00C3450C">
        <w:rPr>
          <w:sz w:val="24"/>
          <w:szCs w:val="24"/>
        </w:rPr>
        <w:t>817</w:t>
      </w:r>
      <w:r w:rsidRPr="00C3450C">
        <w:rPr>
          <w:sz w:val="24"/>
          <w:szCs w:val="24"/>
        </w:rPr>
        <w:t>-18</w:t>
      </w:r>
      <w:r w:rsidR="002D413D" w:rsidRPr="00C3450C">
        <w:rPr>
          <w:sz w:val="24"/>
          <w:szCs w:val="24"/>
        </w:rPr>
        <w:t>65</w:t>
      </w:r>
    </w:p>
    <w:p w14:paraId="57648CCB" w14:textId="77777777" w:rsidR="00FE112E" w:rsidRDefault="00FE112E" w:rsidP="00FE112E">
      <w:pPr>
        <w:spacing w:after="0" w:line="240" w:lineRule="auto"/>
        <w:jc w:val="both"/>
      </w:pPr>
    </w:p>
    <w:p w14:paraId="2EBE8233" w14:textId="77777777" w:rsidR="00FE112E" w:rsidRPr="00D001E0" w:rsidRDefault="00FE112E" w:rsidP="00FE112E">
      <w:pPr>
        <w:spacing w:after="0" w:line="240" w:lineRule="auto"/>
        <w:jc w:val="both"/>
        <w:rPr>
          <w:rFonts w:cstheme="minorHAnsi"/>
          <w:b/>
          <w:bCs/>
          <w:color w:val="C00000"/>
          <w:sz w:val="44"/>
          <w:szCs w:val="44"/>
        </w:rPr>
      </w:pPr>
      <w:bookmarkStart w:id="3" w:name="_Hlk191454018"/>
      <w:r w:rsidRPr="00D001E0">
        <w:rPr>
          <w:rFonts w:cstheme="minorHAnsi"/>
          <w:b/>
          <w:bCs/>
          <w:color w:val="C00000"/>
          <w:sz w:val="44"/>
          <w:szCs w:val="44"/>
        </w:rPr>
        <w:t>Informazioni storico-bibliografiche</w:t>
      </w:r>
    </w:p>
    <w:p w14:paraId="5D95A02A" w14:textId="77777777" w:rsidR="00FE112E" w:rsidRPr="00C31BCD" w:rsidRDefault="00FE112E" w:rsidP="00FE112E">
      <w:pPr>
        <w:pStyle w:val="NormaleWeb"/>
        <w:spacing w:before="0" w:beforeAutospacing="0" w:after="0" w:afterAutospacing="0"/>
        <w:jc w:val="both"/>
        <w:rPr>
          <w:rFonts w:asciiTheme="minorHAnsi" w:hAnsiTheme="minorHAnsi" w:cstheme="minorHAnsi"/>
        </w:rPr>
      </w:pPr>
      <w:r w:rsidRPr="00C31BCD">
        <w:rPr>
          <w:rFonts w:asciiTheme="minorHAnsi" w:hAnsiTheme="minorHAnsi" w:cstheme="minorHAnsi"/>
          <w:b/>
          <w:bCs/>
        </w:rPr>
        <w:t>ALMANACCHI bresciani</w:t>
      </w:r>
      <w:r w:rsidRPr="00C31BCD">
        <w:rPr>
          <w:rFonts w:asciiTheme="minorHAnsi" w:hAnsiTheme="minorHAnsi" w:cstheme="minorHAnsi"/>
        </w:rPr>
        <w:t xml:space="preserve">. Salvo qualche esempio negli anni precedenti, anche a Brescia la moda degli Almanacchi esplose nel sec. XVIII. Notiamo "Il Lunario e giornale con pronostico (1745), Il Concistoro degli Allocchi (1749), La rete dei matti (1753), Il Sole di Brescia (1771), L'interprete dei Novellisti (1780), </w:t>
      </w:r>
      <w:proofErr w:type="spellStart"/>
      <w:r w:rsidRPr="00C31BCD">
        <w:rPr>
          <w:rFonts w:asciiTheme="minorHAnsi" w:hAnsiTheme="minorHAnsi" w:cstheme="minorHAnsi"/>
        </w:rPr>
        <w:t>Decadario</w:t>
      </w:r>
      <w:proofErr w:type="spellEnd"/>
      <w:r w:rsidRPr="00C31BCD">
        <w:rPr>
          <w:rFonts w:asciiTheme="minorHAnsi" w:hAnsiTheme="minorHAnsi" w:cstheme="minorHAnsi"/>
        </w:rPr>
        <w:t xml:space="preserve"> (1799), Diario Bresciano (1799), La zingara astrologa (1816), Il Mercurio volante (1817), La Minerva bresciana (1818), L'indovino inglese (1820), L'Almanacco della provincia bresciana (1827), L'Iride astrologica (1837), Giornale patrio bresciano (1839), Brescia e la sua provincia (1848), Almanacco della provincia bresciana (1849)". Soprattutto in voga furono gli Almanacchi contadini come "Il Brianzolo (1818), Il possidente di campagna (1818), Almanacco provinciale (1855)". Ebbero di solito caratteristiche pratiche, poche volte letterarie. Fra gli almanacchi sacri ricordiamo "La Luna sacra (1804), Il Diario bresciano (1826), Almanacco provinciale bresciano e indicatore sacro (1846)". </w:t>
      </w:r>
    </w:p>
    <w:p w14:paraId="0FE2C059" w14:textId="4ADDFDD6" w:rsidR="0031062F" w:rsidRPr="00C31BCD" w:rsidRDefault="00FE112E" w:rsidP="00C3450C">
      <w:pPr>
        <w:pStyle w:val="NormaleWeb"/>
        <w:spacing w:before="0" w:beforeAutospacing="0" w:after="0" w:afterAutospacing="0"/>
        <w:jc w:val="both"/>
        <w:rPr>
          <w:rFonts w:asciiTheme="minorHAnsi" w:hAnsiTheme="minorHAnsi" w:cstheme="minorHAnsi"/>
        </w:rPr>
      </w:pPr>
      <w:hyperlink r:id="rId10" w:history="1">
        <w:r w:rsidRPr="00C31BCD">
          <w:rPr>
            <w:rStyle w:val="Collegamentoipertestuale"/>
            <w:rFonts w:asciiTheme="minorHAnsi" w:hAnsiTheme="minorHAnsi" w:cstheme="minorHAnsi"/>
          </w:rPr>
          <w:t>https://www.enciclopediabresciana.it/enciclopedia/index.php?title=ALMANACCHI_bresciani</w:t>
        </w:r>
      </w:hyperlink>
      <w:bookmarkEnd w:id="2"/>
      <w:bookmarkEnd w:id="3"/>
    </w:p>
    <w:p w14:paraId="3C88A7D5" w14:textId="77777777" w:rsidR="00C3450C" w:rsidRPr="00C31BCD" w:rsidRDefault="00C3450C" w:rsidP="00C3450C">
      <w:pPr>
        <w:pStyle w:val="NormaleWeb"/>
        <w:spacing w:before="0" w:beforeAutospacing="0" w:after="0" w:afterAutospacing="0"/>
        <w:jc w:val="both"/>
        <w:rPr>
          <w:rFonts w:asciiTheme="minorHAnsi" w:hAnsiTheme="minorHAnsi" w:cstheme="minorHAnsi"/>
        </w:rPr>
      </w:pPr>
    </w:p>
    <w:p w14:paraId="4E62E7A6" w14:textId="77777777" w:rsidR="00C3450C" w:rsidRPr="00C3450C" w:rsidRDefault="00C3450C" w:rsidP="00C3450C">
      <w:pPr>
        <w:pStyle w:val="NormaleWeb"/>
        <w:spacing w:before="0" w:beforeAutospacing="0" w:after="0" w:afterAutospacing="0"/>
        <w:jc w:val="both"/>
        <w:rPr>
          <w:rFonts w:asciiTheme="minorHAnsi" w:hAnsiTheme="minorHAnsi" w:cstheme="minorHAnsi"/>
          <w:b/>
          <w:bCs/>
        </w:rPr>
      </w:pPr>
      <w:r w:rsidRPr="00C3450C">
        <w:rPr>
          <w:rFonts w:asciiTheme="minorHAnsi" w:hAnsiTheme="minorHAnsi" w:cstheme="minorHAnsi"/>
          <w:b/>
          <w:bCs/>
        </w:rPr>
        <w:t>37. Almanacco provinciale per l'anno bisestile 1852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1"/>
        <w:gridCol w:w="4200"/>
      </w:tblGrid>
      <w:tr w:rsidR="00C3450C" w:rsidRPr="00C3450C" w14:paraId="0E14342C" w14:textId="77777777" w:rsidTr="00C3450C">
        <w:trPr>
          <w:tblCellSpacing w:w="15" w:type="dxa"/>
        </w:trPr>
        <w:tc>
          <w:tcPr>
            <w:tcW w:w="0" w:type="auto"/>
            <w:vAlign w:val="center"/>
            <w:hideMark/>
          </w:tcPr>
          <w:p w14:paraId="435D9CC0" w14:textId="77777777" w:rsidR="00C3450C" w:rsidRPr="00C3450C" w:rsidRDefault="00C3450C" w:rsidP="00C3450C">
            <w:pPr>
              <w:pStyle w:val="NormaleWeb"/>
              <w:jc w:val="both"/>
              <w:rPr>
                <w:rFonts w:asciiTheme="minorHAnsi" w:hAnsiTheme="minorHAnsi" w:cstheme="minorHAnsi"/>
                <w:b/>
                <w:bCs/>
              </w:rPr>
            </w:pPr>
            <w:r w:rsidRPr="00C3450C">
              <w:rPr>
                <w:rFonts w:asciiTheme="minorHAnsi" w:hAnsiTheme="minorHAnsi" w:cstheme="minorHAnsi"/>
                <w:b/>
                <w:bCs/>
              </w:rPr>
              <w:t>Sottotitolo</w:t>
            </w:r>
          </w:p>
        </w:tc>
        <w:tc>
          <w:tcPr>
            <w:tcW w:w="0" w:type="auto"/>
            <w:vAlign w:val="center"/>
            <w:hideMark/>
          </w:tcPr>
          <w:p w14:paraId="79535C98" w14:textId="77777777" w:rsidR="00C3450C" w:rsidRPr="00C3450C" w:rsidRDefault="00C3450C" w:rsidP="00C3450C">
            <w:pPr>
              <w:pStyle w:val="NormaleWeb"/>
              <w:jc w:val="both"/>
              <w:rPr>
                <w:rFonts w:asciiTheme="minorHAnsi" w:hAnsiTheme="minorHAnsi" w:cstheme="minorHAnsi"/>
              </w:rPr>
            </w:pPr>
            <w:r w:rsidRPr="00C3450C">
              <w:rPr>
                <w:rFonts w:asciiTheme="minorHAnsi" w:hAnsiTheme="minorHAnsi" w:cstheme="minorHAnsi"/>
              </w:rPr>
              <w:t xml:space="preserve">Con cenni d'agricoltura di </w:t>
            </w:r>
            <w:proofErr w:type="spellStart"/>
            <w:r w:rsidRPr="00C3450C">
              <w:rPr>
                <w:rFonts w:asciiTheme="minorHAnsi" w:hAnsiTheme="minorHAnsi" w:cstheme="minorHAnsi"/>
              </w:rPr>
              <w:t>Isako</w:t>
            </w:r>
            <w:proofErr w:type="spellEnd"/>
            <w:r w:rsidRPr="00C3450C">
              <w:rPr>
                <w:rFonts w:asciiTheme="minorHAnsi" w:hAnsiTheme="minorHAnsi" w:cstheme="minorHAnsi"/>
              </w:rPr>
              <w:t xml:space="preserve"> </w:t>
            </w:r>
            <w:proofErr w:type="spellStart"/>
            <w:r w:rsidRPr="00C3450C">
              <w:rPr>
                <w:rFonts w:asciiTheme="minorHAnsi" w:hAnsiTheme="minorHAnsi" w:cstheme="minorHAnsi"/>
              </w:rPr>
              <w:t>Gonidigor</w:t>
            </w:r>
            <w:proofErr w:type="spellEnd"/>
            <w:r w:rsidRPr="00C3450C">
              <w:rPr>
                <w:rFonts w:asciiTheme="minorHAnsi" w:hAnsiTheme="minorHAnsi" w:cstheme="minorHAnsi"/>
              </w:rPr>
              <w:t>.</w:t>
            </w:r>
          </w:p>
        </w:tc>
      </w:tr>
      <w:tr w:rsidR="00C3450C" w:rsidRPr="00C3450C" w14:paraId="660428A0" w14:textId="77777777" w:rsidTr="00C3450C">
        <w:trPr>
          <w:tblCellSpacing w:w="15" w:type="dxa"/>
        </w:trPr>
        <w:tc>
          <w:tcPr>
            <w:tcW w:w="0" w:type="auto"/>
            <w:vAlign w:val="center"/>
            <w:hideMark/>
          </w:tcPr>
          <w:p w14:paraId="382246B0" w14:textId="77777777" w:rsidR="00C3450C" w:rsidRPr="00C3450C" w:rsidRDefault="00C3450C" w:rsidP="00C3450C">
            <w:pPr>
              <w:pStyle w:val="NormaleWeb"/>
              <w:jc w:val="both"/>
              <w:rPr>
                <w:rFonts w:asciiTheme="minorHAnsi" w:hAnsiTheme="minorHAnsi" w:cstheme="minorHAnsi"/>
                <w:b/>
                <w:bCs/>
              </w:rPr>
            </w:pPr>
            <w:r w:rsidRPr="00C3450C">
              <w:rPr>
                <w:rFonts w:asciiTheme="minorHAnsi" w:hAnsiTheme="minorHAnsi" w:cstheme="minorHAnsi"/>
                <w:b/>
                <w:bCs/>
              </w:rPr>
              <w:t>Luogo</w:t>
            </w:r>
          </w:p>
        </w:tc>
        <w:tc>
          <w:tcPr>
            <w:tcW w:w="0" w:type="auto"/>
            <w:vAlign w:val="center"/>
            <w:hideMark/>
          </w:tcPr>
          <w:p w14:paraId="15FEAB73" w14:textId="77777777" w:rsidR="00C3450C" w:rsidRPr="00C3450C" w:rsidRDefault="00C3450C" w:rsidP="00C3450C">
            <w:pPr>
              <w:pStyle w:val="NormaleWeb"/>
              <w:jc w:val="both"/>
              <w:rPr>
                <w:rFonts w:asciiTheme="minorHAnsi" w:hAnsiTheme="minorHAnsi" w:cstheme="minorHAnsi"/>
              </w:rPr>
            </w:pPr>
            <w:r w:rsidRPr="00C3450C">
              <w:rPr>
                <w:rFonts w:asciiTheme="minorHAnsi" w:hAnsiTheme="minorHAnsi" w:cstheme="minorHAnsi"/>
              </w:rPr>
              <w:t>Brescia.</w:t>
            </w:r>
          </w:p>
        </w:tc>
      </w:tr>
      <w:tr w:rsidR="00C3450C" w:rsidRPr="00C3450C" w14:paraId="53E5923E" w14:textId="77777777" w:rsidTr="00C3450C">
        <w:trPr>
          <w:tblCellSpacing w:w="15" w:type="dxa"/>
        </w:trPr>
        <w:tc>
          <w:tcPr>
            <w:tcW w:w="0" w:type="auto"/>
            <w:vAlign w:val="center"/>
            <w:hideMark/>
          </w:tcPr>
          <w:p w14:paraId="489777C3" w14:textId="77777777" w:rsidR="00C3450C" w:rsidRPr="00C3450C" w:rsidRDefault="00C3450C" w:rsidP="00C3450C">
            <w:pPr>
              <w:pStyle w:val="NormaleWeb"/>
              <w:jc w:val="both"/>
              <w:rPr>
                <w:rFonts w:asciiTheme="minorHAnsi" w:hAnsiTheme="minorHAnsi" w:cstheme="minorHAnsi"/>
                <w:b/>
                <w:bCs/>
              </w:rPr>
            </w:pPr>
            <w:r w:rsidRPr="00C3450C">
              <w:rPr>
                <w:rFonts w:asciiTheme="minorHAnsi" w:hAnsiTheme="minorHAnsi" w:cstheme="minorHAnsi"/>
                <w:b/>
                <w:bCs/>
              </w:rPr>
              <w:t>Durata</w:t>
            </w:r>
          </w:p>
        </w:tc>
        <w:tc>
          <w:tcPr>
            <w:tcW w:w="0" w:type="auto"/>
            <w:vAlign w:val="center"/>
            <w:hideMark/>
          </w:tcPr>
          <w:p w14:paraId="75DA546B" w14:textId="77777777" w:rsidR="00C3450C" w:rsidRPr="00C3450C" w:rsidRDefault="00C3450C" w:rsidP="00C3450C">
            <w:pPr>
              <w:pStyle w:val="NormaleWeb"/>
              <w:jc w:val="both"/>
              <w:rPr>
                <w:rFonts w:asciiTheme="minorHAnsi" w:hAnsiTheme="minorHAnsi" w:cstheme="minorHAnsi"/>
              </w:rPr>
            </w:pPr>
            <w:r w:rsidRPr="00C3450C">
              <w:rPr>
                <w:rFonts w:asciiTheme="minorHAnsi" w:hAnsiTheme="minorHAnsi" w:cstheme="minorHAnsi"/>
              </w:rPr>
              <w:t xml:space="preserve">*1852*. </w:t>
            </w:r>
          </w:p>
        </w:tc>
      </w:tr>
      <w:tr w:rsidR="00C3450C" w:rsidRPr="00C3450C" w14:paraId="5E1A72F6" w14:textId="77777777" w:rsidTr="00C3450C">
        <w:trPr>
          <w:tblCellSpacing w:w="15" w:type="dxa"/>
        </w:trPr>
        <w:tc>
          <w:tcPr>
            <w:tcW w:w="0" w:type="auto"/>
            <w:vAlign w:val="center"/>
            <w:hideMark/>
          </w:tcPr>
          <w:p w14:paraId="29283AA7" w14:textId="77777777" w:rsidR="00C3450C" w:rsidRPr="00C3450C" w:rsidRDefault="00C3450C" w:rsidP="00C3450C">
            <w:pPr>
              <w:pStyle w:val="NormaleWeb"/>
              <w:jc w:val="both"/>
              <w:rPr>
                <w:rFonts w:asciiTheme="minorHAnsi" w:hAnsiTheme="minorHAnsi" w:cstheme="minorHAnsi"/>
                <w:b/>
                <w:bCs/>
              </w:rPr>
            </w:pPr>
            <w:r w:rsidRPr="00C3450C">
              <w:rPr>
                <w:rFonts w:asciiTheme="minorHAnsi" w:hAnsiTheme="minorHAnsi" w:cstheme="minorHAnsi"/>
                <w:b/>
                <w:bCs/>
              </w:rPr>
              <w:t>Periodicità</w:t>
            </w:r>
          </w:p>
        </w:tc>
        <w:tc>
          <w:tcPr>
            <w:tcW w:w="0" w:type="auto"/>
            <w:vAlign w:val="center"/>
            <w:hideMark/>
          </w:tcPr>
          <w:p w14:paraId="075EE240" w14:textId="77777777" w:rsidR="00C3450C" w:rsidRPr="00C3450C" w:rsidRDefault="00C3450C" w:rsidP="00C3450C">
            <w:pPr>
              <w:pStyle w:val="NormaleWeb"/>
              <w:jc w:val="both"/>
              <w:rPr>
                <w:rFonts w:asciiTheme="minorHAnsi" w:hAnsiTheme="minorHAnsi" w:cstheme="minorHAnsi"/>
              </w:rPr>
            </w:pPr>
            <w:r w:rsidRPr="00C3450C">
              <w:rPr>
                <w:rFonts w:asciiTheme="minorHAnsi" w:hAnsiTheme="minorHAnsi" w:cstheme="minorHAnsi"/>
              </w:rPr>
              <w:t>Annuale.</w:t>
            </w:r>
          </w:p>
        </w:tc>
      </w:tr>
      <w:tr w:rsidR="00C3450C" w:rsidRPr="00C3450C" w14:paraId="7B5409C1" w14:textId="77777777" w:rsidTr="00C3450C">
        <w:trPr>
          <w:tblCellSpacing w:w="15" w:type="dxa"/>
        </w:trPr>
        <w:tc>
          <w:tcPr>
            <w:tcW w:w="0" w:type="auto"/>
            <w:vAlign w:val="center"/>
            <w:hideMark/>
          </w:tcPr>
          <w:p w14:paraId="37B92CAC" w14:textId="77777777" w:rsidR="00C3450C" w:rsidRPr="00C3450C" w:rsidRDefault="00C3450C" w:rsidP="00C3450C">
            <w:pPr>
              <w:pStyle w:val="NormaleWeb"/>
              <w:jc w:val="both"/>
              <w:rPr>
                <w:rFonts w:asciiTheme="minorHAnsi" w:hAnsiTheme="minorHAnsi" w:cstheme="minorHAnsi"/>
                <w:b/>
                <w:bCs/>
              </w:rPr>
            </w:pPr>
            <w:r w:rsidRPr="00C3450C">
              <w:rPr>
                <w:rFonts w:asciiTheme="minorHAnsi" w:hAnsiTheme="minorHAnsi" w:cstheme="minorHAnsi"/>
                <w:b/>
                <w:bCs/>
              </w:rPr>
              <w:t>Editore</w:t>
            </w:r>
          </w:p>
        </w:tc>
        <w:tc>
          <w:tcPr>
            <w:tcW w:w="0" w:type="auto"/>
            <w:vAlign w:val="center"/>
            <w:hideMark/>
          </w:tcPr>
          <w:p w14:paraId="55F38C23" w14:textId="77777777" w:rsidR="00C3450C" w:rsidRPr="00C3450C" w:rsidRDefault="00C3450C" w:rsidP="00C3450C">
            <w:pPr>
              <w:pStyle w:val="NormaleWeb"/>
              <w:jc w:val="both"/>
              <w:rPr>
                <w:rFonts w:asciiTheme="minorHAnsi" w:hAnsiTheme="minorHAnsi" w:cstheme="minorHAnsi"/>
              </w:rPr>
            </w:pPr>
            <w:r w:rsidRPr="00C3450C">
              <w:rPr>
                <w:rFonts w:asciiTheme="minorHAnsi" w:hAnsiTheme="minorHAnsi" w:cstheme="minorHAnsi"/>
              </w:rPr>
              <w:t>Gaetano Venturini, tipografo.</w:t>
            </w:r>
          </w:p>
        </w:tc>
      </w:tr>
      <w:tr w:rsidR="00C3450C" w:rsidRPr="00C3450C" w14:paraId="34497BA1" w14:textId="77777777" w:rsidTr="00C3450C">
        <w:trPr>
          <w:tblCellSpacing w:w="15" w:type="dxa"/>
        </w:trPr>
        <w:tc>
          <w:tcPr>
            <w:tcW w:w="0" w:type="auto"/>
            <w:vAlign w:val="center"/>
            <w:hideMark/>
          </w:tcPr>
          <w:p w14:paraId="620738A8" w14:textId="77777777" w:rsidR="00C3450C" w:rsidRPr="00C3450C" w:rsidRDefault="00C3450C" w:rsidP="00C3450C">
            <w:pPr>
              <w:pStyle w:val="NormaleWeb"/>
              <w:jc w:val="both"/>
              <w:rPr>
                <w:rFonts w:asciiTheme="minorHAnsi" w:hAnsiTheme="minorHAnsi" w:cstheme="minorHAnsi"/>
                <w:b/>
                <w:bCs/>
              </w:rPr>
            </w:pPr>
            <w:r w:rsidRPr="00C3450C">
              <w:rPr>
                <w:rFonts w:asciiTheme="minorHAnsi" w:hAnsiTheme="minorHAnsi" w:cstheme="minorHAnsi"/>
                <w:b/>
                <w:bCs/>
              </w:rPr>
              <w:t>Stampatore</w:t>
            </w:r>
          </w:p>
        </w:tc>
        <w:tc>
          <w:tcPr>
            <w:tcW w:w="0" w:type="auto"/>
            <w:vAlign w:val="center"/>
            <w:hideMark/>
          </w:tcPr>
          <w:p w14:paraId="4A157580" w14:textId="77777777" w:rsidR="00C3450C" w:rsidRPr="00C3450C" w:rsidRDefault="00C3450C" w:rsidP="00C3450C">
            <w:pPr>
              <w:pStyle w:val="NormaleWeb"/>
              <w:jc w:val="both"/>
              <w:rPr>
                <w:rFonts w:asciiTheme="minorHAnsi" w:hAnsiTheme="minorHAnsi" w:cstheme="minorHAnsi"/>
              </w:rPr>
            </w:pPr>
            <w:r w:rsidRPr="00C3450C">
              <w:rPr>
                <w:rFonts w:asciiTheme="minorHAnsi" w:hAnsiTheme="minorHAnsi" w:cstheme="minorHAnsi"/>
              </w:rPr>
              <w:t>Brescia, presso l'editore.</w:t>
            </w:r>
          </w:p>
        </w:tc>
      </w:tr>
      <w:tr w:rsidR="00C3450C" w:rsidRPr="00C3450C" w14:paraId="3A108D32" w14:textId="77777777" w:rsidTr="00C3450C">
        <w:trPr>
          <w:tblCellSpacing w:w="15" w:type="dxa"/>
        </w:trPr>
        <w:tc>
          <w:tcPr>
            <w:tcW w:w="0" w:type="auto"/>
            <w:vAlign w:val="center"/>
            <w:hideMark/>
          </w:tcPr>
          <w:p w14:paraId="021897F3" w14:textId="77777777" w:rsidR="00C3450C" w:rsidRPr="00C3450C" w:rsidRDefault="00C3450C" w:rsidP="00C3450C">
            <w:pPr>
              <w:pStyle w:val="NormaleWeb"/>
              <w:jc w:val="both"/>
              <w:rPr>
                <w:rFonts w:asciiTheme="minorHAnsi" w:hAnsiTheme="minorHAnsi" w:cstheme="minorHAnsi"/>
                <w:b/>
                <w:bCs/>
              </w:rPr>
            </w:pPr>
            <w:r w:rsidRPr="00C3450C">
              <w:rPr>
                <w:rFonts w:asciiTheme="minorHAnsi" w:hAnsiTheme="minorHAnsi" w:cstheme="minorHAnsi"/>
                <w:b/>
                <w:bCs/>
              </w:rPr>
              <w:t>Pagine</w:t>
            </w:r>
          </w:p>
        </w:tc>
        <w:tc>
          <w:tcPr>
            <w:tcW w:w="0" w:type="auto"/>
            <w:vAlign w:val="center"/>
            <w:hideMark/>
          </w:tcPr>
          <w:p w14:paraId="0489EB32" w14:textId="77777777" w:rsidR="00C3450C" w:rsidRPr="00C3450C" w:rsidRDefault="00C3450C" w:rsidP="00C3450C">
            <w:pPr>
              <w:pStyle w:val="NormaleWeb"/>
              <w:jc w:val="both"/>
              <w:rPr>
                <w:rFonts w:asciiTheme="minorHAnsi" w:hAnsiTheme="minorHAnsi" w:cstheme="minorHAnsi"/>
              </w:rPr>
            </w:pPr>
            <w:r w:rsidRPr="00C3450C">
              <w:rPr>
                <w:rFonts w:asciiTheme="minorHAnsi" w:hAnsiTheme="minorHAnsi" w:cstheme="minorHAnsi"/>
              </w:rPr>
              <w:t>144.</w:t>
            </w:r>
          </w:p>
        </w:tc>
      </w:tr>
      <w:tr w:rsidR="00C3450C" w:rsidRPr="00C3450C" w14:paraId="699CE0B8" w14:textId="77777777" w:rsidTr="00C3450C">
        <w:trPr>
          <w:tblCellSpacing w:w="15" w:type="dxa"/>
        </w:trPr>
        <w:tc>
          <w:tcPr>
            <w:tcW w:w="0" w:type="auto"/>
            <w:vAlign w:val="center"/>
            <w:hideMark/>
          </w:tcPr>
          <w:p w14:paraId="28059232" w14:textId="77777777" w:rsidR="00C3450C" w:rsidRPr="00C3450C" w:rsidRDefault="00C3450C" w:rsidP="00C3450C">
            <w:pPr>
              <w:pStyle w:val="NormaleWeb"/>
              <w:jc w:val="both"/>
              <w:rPr>
                <w:rFonts w:asciiTheme="minorHAnsi" w:hAnsiTheme="minorHAnsi" w:cstheme="minorHAnsi"/>
                <w:b/>
                <w:bCs/>
              </w:rPr>
            </w:pPr>
            <w:r w:rsidRPr="00C3450C">
              <w:rPr>
                <w:rFonts w:asciiTheme="minorHAnsi" w:hAnsiTheme="minorHAnsi" w:cstheme="minorHAnsi"/>
                <w:b/>
                <w:bCs/>
              </w:rPr>
              <w:t>Formato</w:t>
            </w:r>
          </w:p>
        </w:tc>
        <w:tc>
          <w:tcPr>
            <w:tcW w:w="0" w:type="auto"/>
            <w:vAlign w:val="center"/>
            <w:hideMark/>
          </w:tcPr>
          <w:p w14:paraId="78C646F3" w14:textId="77777777" w:rsidR="00C3450C" w:rsidRPr="00C3450C" w:rsidRDefault="00C3450C" w:rsidP="00C3450C">
            <w:pPr>
              <w:pStyle w:val="NormaleWeb"/>
              <w:jc w:val="both"/>
              <w:rPr>
                <w:rFonts w:asciiTheme="minorHAnsi" w:hAnsiTheme="minorHAnsi" w:cstheme="minorHAnsi"/>
              </w:rPr>
            </w:pPr>
            <w:r w:rsidRPr="00C3450C">
              <w:rPr>
                <w:rFonts w:asciiTheme="minorHAnsi" w:hAnsiTheme="minorHAnsi" w:cstheme="minorHAnsi"/>
              </w:rPr>
              <w:t>14x10 cm.</w:t>
            </w:r>
          </w:p>
        </w:tc>
      </w:tr>
      <w:tr w:rsidR="00C3450C" w:rsidRPr="00C3450C" w14:paraId="79CF6E32" w14:textId="77777777" w:rsidTr="00C3450C">
        <w:trPr>
          <w:tblCellSpacing w:w="15" w:type="dxa"/>
        </w:trPr>
        <w:tc>
          <w:tcPr>
            <w:tcW w:w="0" w:type="auto"/>
            <w:vAlign w:val="center"/>
            <w:hideMark/>
          </w:tcPr>
          <w:p w14:paraId="4265EA34" w14:textId="77777777" w:rsidR="00C3450C" w:rsidRPr="00C3450C" w:rsidRDefault="00C3450C" w:rsidP="00C3450C">
            <w:pPr>
              <w:pStyle w:val="NormaleWeb"/>
              <w:jc w:val="both"/>
              <w:rPr>
                <w:rFonts w:asciiTheme="minorHAnsi" w:hAnsiTheme="minorHAnsi" w:cstheme="minorHAnsi"/>
                <w:b/>
                <w:bCs/>
              </w:rPr>
            </w:pPr>
            <w:r w:rsidRPr="00C3450C">
              <w:rPr>
                <w:rFonts w:asciiTheme="minorHAnsi" w:hAnsiTheme="minorHAnsi" w:cstheme="minorHAnsi"/>
                <w:b/>
                <w:bCs/>
              </w:rPr>
              <w:t>Note</w:t>
            </w:r>
          </w:p>
        </w:tc>
        <w:tc>
          <w:tcPr>
            <w:tcW w:w="0" w:type="auto"/>
            <w:vAlign w:val="center"/>
            <w:hideMark/>
          </w:tcPr>
          <w:p w14:paraId="5AD6B44A" w14:textId="77777777" w:rsidR="00C3450C" w:rsidRPr="00C3450C" w:rsidRDefault="00C3450C" w:rsidP="00C3450C">
            <w:pPr>
              <w:pStyle w:val="NormaleWeb"/>
              <w:jc w:val="both"/>
              <w:rPr>
                <w:rFonts w:asciiTheme="minorHAnsi" w:hAnsiTheme="minorHAnsi" w:cstheme="minorHAnsi"/>
              </w:rPr>
            </w:pPr>
            <w:r w:rsidRPr="00C3450C">
              <w:rPr>
                <w:rFonts w:asciiTheme="minorHAnsi" w:hAnsiTheme="minorHAnsi" w:cstheme="minorHAnsi"/>
                <w:i/>
                <w:iCs/>
              </w:rPr>
              <w:t>Contiene tavole e tabelle.</w:t>
            </w:r>
          </w:p>
        </w:tc>
      </w:tr>
    </w:tbl>
    <w:p w14:paraId="25C362E9" w14:textId="77777777" w:rsidR="00C3450C" w:rsidRPr="00C3450C" w:rsidRDefault="00C3450C" w:rsidP="00C3450C">
      <w:pPr>
        <w:pStyle w:val="NormaleWeb"/>
        <w:spacing w:before="0" w:beforeAutospacing="0" w:after="0" w:afterAutospacing="0"/>
        <w:jc w:val="both"/>
        <w:rPr>
          <w:rFonts w:asciiTheme="minorHAnsi" w:hAnsiTheme="minorHAnsi" w:cstheme="minorHAnsi"/>
        </w:rPr>
      </w:pPr>
      <w:r w:rsidRPr="00C3450C">
        <w:rPr>
          <w:rFonts w:asciiTheme="minorHAnsi" w:hAnsiTheme="minorHAnsi" w:cstheme="minorHAnsi"/>
        </w:rPr>
        <w:t xml:space="preserve">Nell'introduzione il curatore scrive: "Io intendo proseguire e mantenere la parola emessa nell'almanacco dello scaduto anno; in questo andrò discorrendo così alla buona di alcune regole necessarie da eseguirsi nel vendemmiare, ed esporrò senza termini scientifici alcune teorie sulla fermentazione vinosa, e quali mezzi </w:t>
      </w:r>
      <w:proofErr w:type="spellStart"/>
      <w:r w:rsidRPr="00C3450C">
        <w:rPr>
          <w:rFonts w:asciiTheme="minorHAnsi" w:hAnsiTheme="minorHAnsi" w:cstheme="minorHAnsi"/>
        </w:rPr>
        <w:t>sieno</w:t>
      </w:r>
      <w:proofErr w:type="spellEnd"/>
      <w:r w:rsidRPr="00C3450C">
        <w:rPr>
          <w:rFonts w:asciiTheme="minorHAnsi" w:hAnsiTheme="minorHAnsi" w:cstheme="minorHAnsi"/>
        </w:rPr>
        <w:t xml:space="preserve"> </w:t>
      </w:r>
      <w:proofErr w:type="spellStart"/>
      <w:r w:rsidRPr="00C3450C">
        <w:rPr>
          <w:rFonts w:asciiTheme="minorHAnsi" w:hAnsiTheme="minorHAnsi" w:cstheme="minorHAnsi"/>
        </w:rPr>
        <w:t>necessarj</w:t>
      </w:r>
      <w:proofErr w:type="spellEnd"/>
      <w:r w:rsidRPr="00C3450C">
        <w:rPr>
          <w:rFonts w:asciiTheme="minorHAnsi" w:hAnsiTheme="minorHAnsi" w:cstheme="minorHAnsi"/>
        </w:rPr>
        <w:t xml:space="preserve"> per supplire ad alcuni </w:t>
      </w:r>
      <w:proofErr w:type="spellStart"/>
      <w:r w:rsidRPr="00C3450C">
        <w:rPr>
          <w:rFonts w:asciiTheme="minorHAnsi" w:hAnsiTheme="minorHAnsi" w:cstheme="minorHAnsi"/>
        </w:rPr>
        <w:t>principj</w:t>
      </w:r>
      <w:proofErr w:type="spellEnd"/>
      <w:r w:rsidRPr="00C3450C">
        <w:rPr>
          <w:rFonts w:asciiTheme="minorHAnsi" w:hAnsiTheme="minorHAnsi" w:cstheme="minorHAnsi"/>
        </w:rPr>
        <w:t xml:space="preserve"> onde rendere i vini di buona qualità". L'«Almanacco» contiene inoltre nozioni di gelsicoltura, medicina e concimazione esposte in forma di dialogo; i quadri dell'organizzazione politica, della Camera di commercio e dell'industria provinciale, della congregazione municipale di Brescia, di medici, chirurghi e levatrici, dell'istruzione pubblica, dell'organizzazione giudiziaria e camerale; l'elenco dei comuni della provincia di Brescia; i quadri delle autorità militari, del culto, di poste e comunicazioni e l'elenco dei principali mercati e fiere nella provincia.</w:t>
      </w:r>
    </w:p>
    <w:p w14:paraId="53B64A1A" w14:textId="77777777" w:rsidR="00C3450C" w:rsidRPr="00C3450C" w:rsidRDefault="00C3450C" w:rsidP="00C3450C">
      <w:pPr>
        <w:pStyle w:val="NormaleWeb"/>
        <w:spacing w:before="0" w:beforeAutospacing="0" w:after="0" w:afterAutospacing="0"/>
        <w:jc w:val="both"/>
        <w:rPr>
          <w:rFonts w:asciiTheme="minorHAnsi" w:hAnsiTheme="minorHAnsi" w:cstheme="minorHAnsi"/>
        </w:rPr>
      </w:pPr>
      <w:r w:rsidRPr="00C3450C">
        <w:rPr>
          <w:rFonts w:asciiTheme="minorHAnsi" w:hAnsiTheme="minorHAnsi" w:cstheme="minorHAnsi"/>
        </w:rPr>
        <w:t>A. Ac.</w:t>
      </w:r>
    </w:p>
    <w:p w14:paraId="1345AFE6" w14:textId="77777777" w:rsidR="00C3450C" w:rsidRPr="00C3450C" w:rsidRDefault="00C3450C" w:rsidP="00C3450C">
      <w:pPr>
        <w:pStyle w:val="NormaleWeb"/>
        <w:spacing w:before="0" w:beforeAutospacing="0" w:after="0" w:afterAutospacing="0"/>
        <w:jc w:val="both"/>
        <w:rPr>
          <w:rFonts w:asciiTheme="minorHAnsi" w:hAnsiTheme="minorHAnsi" w:cstheme="minorHAnsi"/>
        </w:rPr>
      </w:pPr>
      <w:r w:rsidRPr="00C3450C">
        <w:rPr>
          <w:rFonts w:asciiTheme="minorHAnsi" w:hAnsiTheme="minorHAnsi" w:cstheme="minorHAnsi"/>
        </w:rPr>
        <w:t>Raccolte: MI120: 1852.</w:t>
      </w:r>
    </w:p>
    <w:p w14:paraId="7379C5F8" w14:textId="77777777" w:rsidR="00C3450C" w:rsidRPr="00C3450C" w:rsidRDefault="00C3450C" w:rsidP="00C3450C">
      <w:pPr>
        <w:pStyle w:val="NormaleWeb"/>
        <w:spacing w:before="0" w:beforeAutospacing="0" w:after="0" w:afterAutospacing="0"/>
        <w:jc w:val="both"/>
        <w:rPr>
          <w:rFonts w:asciiTheme="minorHAnsi" w:hAnsiTheme="minorHAnsi" w:cstheme="minorHAnsi"/>
        </w:rPr>
      </w:pPr>
      <w:r w:rsidRPr="00C3450C">
        <w:rPr>
          <w:rFonts w:asciiTheme="minorHAnsi" w:hAnsiTheme="minorHAnsi" w:cstheme="minorHAnsi"/>
        </w:rPr>
        <w:t xml:space="preserve">Link risorsa: </w:t>
      </w:r>
      <w:hyperlink r:id="rId11" w:history="1">
        <w:r w:rsidRPr="00C3450C">
          <w:rPr>
            <w:rStyle w:val="Collegamentoipertestuale"/>
            <w:rFonts w:asciiTheme="minorHAnsi" w:hAnsiTheme="minorHAnsi" w:cstheme="minorHAnsi"/>
          </w:rPr>
          <w:t>https://www.lombardiabeniculturali.it/pereco/schede/37/</w:t>
        </w:r>
      </w:hyperlink>
    </w:p>
    <w:p w14:paraId="701C77B8" w14:textId="77777777" w:rsidR="00C3450C" w:rsidRPr="00C3450C" w:rsidRDefault="00C3450C" w:rsidP="00C3450C">
      <w:pPr>
        <w:pStyle w:val="NormaleWeb"/>
        <w:spacing w:before="0" w:beforeAutospacing="0" w:after="0" w:afterAutospacing="0"/>
        <w:jc w:val="both"/>
        <w:rPr>
          <w:rFonts w:asciiTheme="minorHAnsi" w:hAnsiTheme="minorHAnsi" w:cstheme="minorHAnsi"/>
          <w:sz w:val="20"/>
          <w:szCs w:val="20"/>
        </w:rPr>
      </w:pPr>
    </w:p>
    <w:p w14:paraId="2CDFB230" w14:textId="0D5C523B" w:rsidR="00C3450C" w:rsidRPr="00C31BCD" w:rsidRDefault="00C3450C" w:rsidP="00C3450C">
      <w:pPr>
        <w:pStyle w:val="NormaleWeb"/>
        <w:spacing w:before="0" w:beforeAutospacing="0" w:after="0" w:afterAutospacing="0"/>
        <w:jc w:val="both"/>
        <w:rPr>
          <w:rFonts w:asciiTheme="minorHAnsi" w:hAnsiTheme="minorHAnsi" w:cstheme="minorHAnsi"/>
          <w:b/>
          <w:bCs/>
          <w:color w:val="C00000"/>
          <w:sz w:val="44"/>
          <w:szCs w:val="44"/>
        </w:rPr>
      </w:pPr>
      <w:r w:rsidRPr="00C31BCD">
        <w:rPr>
          <w:rFonts w:asciiTheme="minorHAnsi" w:hAnsiTheme="minorHAnsi" w:cstheme="minorHAnsi"/>
          <w:b/>
          <w:bCs/>
          <w:color w:val="C00000"/>
          <w:sz w:val="44"/>
          <w:szCs w:val="44"/>
        </w:rPr>
        <w:t>Note e riferimenti bibliografici</w:t>
      </w:r>
    </w:p>
    <w:p w14:paraId="2DDD3405" w14:textId="12A38C1E" w:rsidR="00C3450C" w:rsidRPr="00C31BCD" w:rsidRDefault="00C3450C" w:rsidP="00E04DE0">
      <w:pPr>
        <w:pStyle w:val="NormaleWeb"/>
        <w:numPr>
          <w:ilvl w:val="0"/>
          <w:numId w:val="1"/>
        </w:numPr>
        <w:spacing w:before="0" w:beforeAutospacing="0" w:after="0" w:afterAutospacing="0"/>
        <w:jc w:val="both"/>
      </w:pPr>
      <w:hyperlink r:id="rId12" w:history="1">
        <w:r w:rsidRPr="00C31BCD">
          <w:rPr>
            <w:rStyle w:val="Collegamentoipertestuale"/>
            <w:rFonts w:asciiTheme="minorHAnsi" w:hAnsiTheme="minorHAnsi" w:cstheme="minorHAnsi"/>
          </w:rPr>
          <w:t>https://www.bibliotecabarbanera.it/search/detail/almanacco-ufficiale-della-provincia-bresciana-per-lanno/3454</w:t>
        </w:r>
      </w:hyperlink>
    </w:p>
    <w:sectPr w:rsidR="00C3450C" w:rsidRPr="00C31BCD"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E8559F"/>
    <w:multiLevelType w:val="hybridMultilevel"/>
    <w:tmpl w:val="C6C4E1BC"/>
    <w:lvl w:ilvl="0" w:tplc="04100001">
      <w:start w:val="36"/>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61735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973CF"/>
    <w:rsid w:val="000008FB"/>
    <w:rsid w:val="002D413D"/>
    <w:rsid w:val="0031062F"/>
    <w:rsid w:val="003605E3"/>
    <w:rsid w:val="00375F4B"/>
    <w:rsid w:val="003811E4"/>
    <w:rsid w:val="00653982"/>
    <w:rsid w:val="00AD13EE"/>
    <w:rsid w:val="00C31BCD"/>
    <w:rsid w:val="00C3450C"/>
    <w:rsid w:val="00C71CAA"/>
    <w:rsid w:val="00CB666F"/>
    <w:rsid w:val="00D544E6"/>
    <w:rsid w:val="00E84EF4"/>
    <w:rsid w:val="00F973CF"/>
    <w:rsid w:val="00FE11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D3E22"/>
  <w15:chartTrackingRefBased/>
  <w15:docId w15:val="{1DD9C312-E341-4AB7-A79B-CC02135E8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E112E"/>
  </w:style>
  <w:style w:type="paragraph" w:styleId="Titolo1">
    <w:name w:val="heading 1"/>
    <w:basedOn w:val="Normale"/>
    <w:next w:val="Normale"/>
    <w:link w:val="Titolo1Carattere"/>
    <w:uiPriority w:val="9"/>
    <w:qFormat/>
    <w:rsid w:val="00F973C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F973C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F973C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F973C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F973C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F973C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973C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973C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973C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973C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F973C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F973C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F973C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F973C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F973C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973C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973C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973CF"/>
    <w:rPr>
      <w:rFonts w:eastAsiaTheme="majorEastAsia" w:cstheme="majorBidi"/>
      <w:color w:val="272727" w:themeColor="text1" w:themeTint="D8"/>
    </w:rPr>
  </w:style>
  <w:style w:type="paragraph" w:styleId="Titolo">
    <w:name w:val="Title"/>
    <w:basedOn w:val="Normale"/>
    <w:next w:val="Normale"/>
    <w:link w:val="TitoloCarattere"/>
    <w:uiPriority w:val="10"/>
    <w:qFormat/>
    <w:rsid w:val="00F973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973C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973C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973C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973C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F973CF"/>
    <w:rPr>
      <w:i/>
      <w:iCs/>
      <w:color w:val="404040" w:themeColor="text1" w:themeTint="BF"/>
    </w:rPr>
  </w:style>
  <w:style w:type="paragraph" w:styleId="Paragrafoelenco">
    <w:name w:val="List Paragraph"/>
    <w:basedOn w:val="Normale"/>
    <w:uiPriority w:val="34"/>
    <w:qFormat/>
    <w:rsid w:val="00F973CF"/>
    <w:pPr>
      <w:ind w:left="720"/>
      <w:contextualSpacing/>
    </w:pPr>
  </w:style>
  <w:style w:type="character" w:styleId="Enfasiintensa">
    <w:name w:val="Intense Emphasis"/>
    <w:basedOn w:val="Carpredefinitoparagrafo"/>
    <w:uiPriority w:val="21"/>
    <w:qFormat/>
    <w:rsid w:val="00F973CF"/>
    <w:rPr>
      <w:i/>
      <w:iCs/>
      <w:color w:val="365F91" w:themeColor="accent1" w:themeShade="BF"/>
    </w:rPr>
  </w:style>
  <w:style w:type="paragraph" w:styleId="Citazioneintensa">
    <w:name w:val="Intense Quote"/>
    <w:basedOn w:val="Normale"/>
    <w:next w:val="Normale"/>
    <w:link w:val="CitazioneintensaCarattere"/>
    <w:uiPriority w:val="30"/>
    <w:qFormat/>
    <w:rsid w:val="00F973C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F973CF"/>
    <w:rPr>
      <w:i/>
      <w:iCs/>
      <w:color w:val="365F91" w:themeColor="accent1" w:themeShade="BF"/>
    </w:rPr>
  </w:style>
  <w:style w:type="character" w:styleId="Riferimentointenso">
    <w:name w:val="Intense Reference"/>
    <w:basedOn w:val="Carpredefinitoparagrafo"/>
    <w:uiPriority w:val="32"/>
    <w:qFormat/>
    <w:rsid w:val="00F973CF"/>
    <w:rPr>
      <w:b/>
      <w:bCs/>
      <w:smallCaps/>
      <w:color w:val="365F91" w:themeColor="accent1" w:themeShade="BF"/>
      <w:spacing w:val="5"/>
    </w:rPr>
  </w:style>
  <w:style w:type="character" w:styleId="Enfasigrassetto">
    <w:name w:val="Strong"/>
    <w:basedOn w:val="Carpredefinitoparagrafo"/>
    <w:uiPriority w:val="22"/>
    <w:qFormat/>
    <w:rsid w:val="00FE112E"/>
    <w:rPr>
      <w:b/>
      <w:bCs/>
    </w:rPr>
  </w:style>
  <w:style w:type="character" w:styleId="Collegamentoipertestuale">
    <w:name w:val="Hyperlink"/>
    <w:basedOn w:val="Carpredefinitoparagrafo"/>
    <w:uiPriority w:val="99"/>
    <w:unhideWhenUsed/>
    <w:rsid w:val="00FE112E"/>
    <w:rPr>
      <w:color w:val="0000FF"/>
      <w:u w:val="single"/>
    </w:rPr>
  </w:style>
  <w:style w:type="paragraph" w:styleId="NormaleWeb">
    <w:name w:val="Normal (Web)"/>
    <w:basedOn w:val="Normale"/>
    <w:uiPriority w:val="99"/>
    <w:unhideWhenUsed/>
    <w:rsid w:val="00FE112E"/>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Menzionenonrisolta">
    <w:name w:val="Unresolved Mention"/>
    <w:basedOn w:val="Carpredefinitoparagrafo"/>
    <w:uiPriority w:val="99"/>
    <w:semiHidden/>
    <w:unhideWhenUsed/>
    <w:rsid w:val="002D413D"/>
    <w:rPr>
      <w:color w:val="605E5C"/>
      <w:shd w:val="clear" w:color="auto" w:fill="E1DFDD"/>
    </w:rPr>
  </w:style>
  <w:style w:type="character" w:styleId="Collegamentovisitato">
    <w:name w:val="FollowedHyperlink"/>
    <w:basedOn w:val="Carpredefinitoparagrafo"/>
    <w:uiPriority w:val="99"/>
    <w:semiHidden/>
    <w:unhideWhenUsed/>
    <w:rsid w:val="00C345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615">
      <w:bodyDiv w:val="1"/>
      <w:marLeft w:val="0"/>
      <w:marRight w:val="0"/>
      <w:marTop w:val="0"/>
      <w:marBottom w:val="0"/>
      <w:divBdr>
        <w:top w:val="none" w:sz="0" w:space="0" w:color="auto"/>
        <w:left w:val="none" w:sz="0" w:space="0" w:color="auto"/>
        <w:bottom w:val="none" w:sz="0" w:space="0" w:color="auto"/>
        <w:right w:val="none" w:sz="0" w:space="0" w:color="auto"/>
      </w:divBdr>
      <w:divsChild>
        <w:div w:id="1686399170">
          <w:marLeft w:val="0"/>
          <w:marRight w:val="0"/>
          <w:marTop w:val="0"/>
          <w:marBottom w:val="0"/>
          <w:divBdr>
            <w:top w:val="none" w:sz="0" w:space="0" w:color="auto"/>
            <w:left w:val="none" w:sz="0" w:space="0" w:color="auto"/>
            <w:bottom w:val="none" w:sz="0" w:space="0" w:color="auto"/>
            <w:right w:val="none" w:sz="0" w:space="0" w:color="auto"/>
          </w:divBdr>
          <w:divsChild>
            <w:div w:id="1531995327">
              <w:marLeft w:val="0"/>
              <w:marRight w:val="0"/>
              <w:marTop w:val="0"/>
              <w:marBottom w:val="150"/>
              <w:divBdr>
                <w:top w:val="none" w:sz="0" w:space="0" w:color="auto"/>
                <w:left w:val="none" w:sz="0" w:space="0" w:color="auto"/>
                <w:bottom w:val="none" w:sz="0" w:space="0" w:color="auto"/>
                <w:right w:val="none" w:sz="0" w:space="0" w:color="auto"/>
              </w:divBdr>
              <w:divsChild>
                <w:div w:id="16335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845508">
      <w:bodyDiv w:val="1"/>
      <w:marLeft w:val="0"/>
      <w:marRight w:val="0"/>
      <w:marTop w:val="0"/>
      <w:marBottom w:val="0"/>
      <w:divBdr>
        <w:top w:val="none" w:sz="0" w:space="0" w:color="auto"/>
        <w:left w:val="none" w:sz="0" w:space="0" w:color="auto"/>
        <w:bottom w:val="none" w:sz="0" w:space="0" w:color="auto"/>
        <w:right w:val="none" w:sz="0" w:space="0" w:color="auto"/>
      </w:divBdr>
      <w:divsChild>
        <w:div w:id="127599048">
          <w:marLeft w:val="0"/>
          <w:marRight w:val="0"/>
          <w:marTop w:val="0"/>
          <w:marBottom w:val="0"/>
          <w:divBdr>
            <w:top w:val="none" w:sz="0" w:space="0" w:color="auto"/>
            <w:left w:val="none" w:sz="0" w:space="0" w:color="auto"/>
            <w:bottom w:val="none" w:sz="0" w:space="0" w:color="auto"/>
            <w:right w:val="none" w:sz="0" w:space="0" w:color="auto"/>
          </w:divBdr>
          <w:divsChild>
            <w:div w:id="2071266433">
              <w:marLeft w:val="0"/>
              <w:marRight w:val="0"/>
              <w:marTop w:val="0"/>
              <w:marBottom w:val="150"/>
              <w:divBdr>
                <w:top w:val="none" w:sz="0" w:space="0" w:color="auto"/>
                <w:left w:val="none" w:sz="0" w:space="0" w:color="auto"/>
                <w:bottom w:val="none" w:sz="0" w:space="0" w:color="auto"/>
                <w:right w:val="none" w:sz="0" w:space="0" w:color="auto"/>
              </w:divBdr>
              <w:divsChild>
                <w:div w:id="15239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bibliotecabarbanera.it/search/detail/almanacco-ufficiale-della-provincia-bresciana-per-lanno/345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ombardiabeniculturali.it/pereco/schede/37/" TargetMode="External"/><Relationship Id="rId5" Type="http://schemas.openxmlformats.org/officeDocument/2006/relationships/image" Target="media/image1.png"/><Relationship Id="rId10" Type="http://schemas.openxmlformats.org/officeDocument/2006/relationships/hyperlink" Target="https://www.enciclopediabresciana.it/enciclopedia/index.php?title=ALMANACCHI_bresciani" TargetMode="External"/><Relationship Id="rId4" Type="http://schemas.openxmlformats.org/officeDocument/2006/relationships/webSettings" Target="webSettings.xml"/><Relationship Id="rId9" Type="http://schemas.openxmlformats.org/officeDocument/2006/relationships/hyperlink" Target="https://kulturpool.at/en/search?query=brescia+e+la+sua+provincia"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615</Words>
  <Characters>3510</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2025-02-26T08:32:00Z</dcterms:created>
  <dcterms:modified xsi:type="dcterms:W3CDTF">2025-02-26T09:59:00Z</dcterms:modified>
</cp:coreProperties>
</file>