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7B5BD" w14:textId="35ABBD2A" w:rsidR="007126C0" w:rsidRDefault="007126C0" w:rsidP="007126C0">
      <w:pPr>
        <w:spacing w:after="0" w:line="240" w:lineRule="auto"/>
        <w:jc w:val="both"/>
        <w:rPr>
          <w:rFonts w:cstheme="minorHAnsi"/>
          <w:i/>
          <w:sz w:val="16"/>
          <w:szCs w:val="16"/>
        </w:rPr>
      </w:pPr>
      <w:r w:rsidRPr="007126C0">
        <w:rPr>
          <w:rFonts w:cstheme="minorHAnsi"/>
          <w:b/>
          <w:color w:val="C00000"/>
          <w:sz w:val="44"/>
          <w:szCs w:val="44"/>
        </w:rPr>
        <w:t>XY83</w:t>
      </w:r>
      <w:r w:rsidRPr="007126C0">
        <w:rPr>
          <w:rFonts w:cstheme="minorHAnsi"/>
          <w:b/>
          <w:color w:val="C00000"/>
          <w:sz w:val="44"/>
          <w:szCs w:val="44"/>
        </w:rPr>
        <w:t>7</w:t>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b/>
        </w:rPr>
        <w:tab/>
      </w:r>
      <w:r w:rsidRPr="007126C0">
        <w:rPr>
          <w:rFonts w:cstheme="minorHAnsi"/>
          <w:i/>
          <w:sz w:val="16"/>
          <w:szCs w:val="16"/>
        </w:rPr>
        <w:t>Scheda creata il 1</w:t>
      </w:r>
      <w:r w:rsidRPr="007126C0">
        <w:rPr>
          <w:rFonts w:cstheme="minorHAnsi"/>
          <w:i/>
          <w:sz w:val="16"/>
          <w:szCs w:val="16"/>
        </w:rPr>
        <w:t>3</w:t>
      </w:r>
      <w:r w:rsidRPr="007126C0">
        <w:rPr>
          <w:rFonts w:cstheme="minorHAnsi"/>
          <w:i/>
          <w:sz w:val="16"/>
          <w:szCs w:val="16"/>
        </w:rPr>
        <w:t xml:space="preserve"> marzo 2025</w:t>
      </w:r>
    </w:p>
    <w:p w14:paraId="5C9CDA31" w14:textId="77777777" w:rsidR="007126C0" w:rsidRPr="007126C0" w:rsidRDefault="007126C0" w:rsidP="007126C0">
      <w:pPr>
        <w:spacing w:after="0" w:line="240" w:lineRule="auto"/>
        <w:jc w:val="both"/>
        <w:rPr>
          <w:rFonts w:cstheme="minorHAnsi"/>
          <w:i/>
          <w:sz w:val="16"/>
          <w:szCs w:val="16"/>
        </w:rPr>
      </w:pPr>
    </w:p>
    <w:p w14:paraId="3923FD89" w14:textId="22E1AC10" w:rsidR="007126C0" w:rsidRPr="007126C0" w:rsidRDefault="007126C0" w:rsidP="007126C0">
      <w:pPr>
        <w:spacing w:after="0" w:line="240" w:lineRule="auto"/>
        <w:jc w:val="both"/>
        <w:rPr>
          <w:rFonts w:cstheme="minorHAnsi"/>
          <w:b/>
          <w:color w:val="C00000"/>
          <w:sz w:val="44"/>
          <w:szCs w:val="44"/>
        </w:rPr>
      </w:pPr>
      <w:r w:rsidRPr="007126C0">
        <w:rPr>
          <w:rFonts w:cstheme="minorHAnsi"/>
          <w:b/>
          <w:color w:val="C00000"/>
          <w:sz w:val="44"/>
          <w:szCs w:val="44"/>
        </w:rPr>
        <w:drawing>
          <wp:anchor distT="0" distB="0" distL="114300" distR="114300" simplePos="0" relativeHeight="251658240" behindDoc="0" locked="0" layoutInCell="1" allowOverlap="1" wp14:anchorId="42EB4702" wp14:editId="4692A399">
            <wp:simplePos x="0" y="0"/>
            <wp:positionH relativeFrom="column">
              <wp:posOffset>-952</wp:posOffset>
            </wp:positionH>
            <wp:positionV relativeFrom="paragraph">
              <wp:posOffset>1588</wp:posOffset>
            </wp:positionV>
            <wp:extent cx="2800800" cy="3960000"/>
            <wp:effectExtent l="0" t="0" r="0" b="2540"/>
            <wp:wrapSquare wrapText="bothSides"/>
            <wp:docPr id="679855038" name="Immagine 6" descr="Le convenzioni contro le doppie imposizioni in pratica - Centro Studi Fisc... - Foto 1 d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e convenzioni contro le doppie imposizioni in pratica - Centro Studi Fisc... - Foto 1 di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8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6C0">
        <w:rPr>
          <w:rFonts w:cstheme="minorHAnsi"/>
          <w:b/>
          <w:color w:val="C00000"/>
          <w:sz w:val="44"/>
          <w:szCs w:val="44"/>
        </w:rPr>
        <w:t>Descrizione bibliografica</w:t>
      </w:r>
    </w:p>
    <w:p w14:paraId="64909E80" w14:textId="12BEA278" w:rsidR="0031062F" w:rsidRPr="007126C0" w:rsidRDefault="007126C0" w:rsidP="007126C0">
      <w:pPr>
        <w:spacing w:after="0" w:line="240" w:lineRule="auto"/>
        <w:jc w:val="both"/>
        <w:rPr>
          <w:rFonts w:cstheme="minorHAnsi"/>
          <w:sz w:val="24"/>
          <w:szCs w:val="24"/>
        </w:rPr>
      </w:pPr>
      <w:r w:rsidRPr="007126C0">
        <w:rPr>
          <w:rFonts w:cstheme="minorHAnsi"/>
          <w:sz w:val="24"/>
          <w:szCs w:val="24"/>
        </w:rPr>
        <w:t xml:space="preserve">Le </w:t>
      </w:r>
      <w:r w:rsidRPr="007126C0">
        <w:rPr>
          <w:rFonts w:cstheme="minorHAnsi"/>
          <w:sz w:val="24"/>
          <w:szCs w:val="24"/>
        </w:rPr>
        <w:t>*</w:t>
      </w:r>
      <w:r w:rsidRPr="007126C0">
        <w:rPr>
          <w:rFonts w:cstheme="minorHAnsi"/>
          <w:b/>
          <w:bCs/>
          <w:sz w:val="24"/>
          <w:szCs w:val="24"/>
        </w:rPr>
        <w:t>convenzioni contro le doppie imposizioni in pratica</w:t>
      </w:r>
      <w:r w:rsidRPr="007126C0">
        <w:rPr>
          <w:rFonts w:cstheme="minorHAnsi"/>
          <w:sz w:val="24"/>
          <w:szCs w:val="24"/>
        </w:rPr>
        <w:t xml:space="preserve"> .... - 2024-</w:t>
      </w:r>
      <w:r w:rsidRPr="007126C0">
        <w:rPr>
          <w:rFonts w:cstheme="minorHAnsi"/>
          <w:sz w:val="24"/>
          <w:szCs w:val="24"/>
        </w:rPr>
        <w:t xml:space="preserve">  </w:t>
      </w:r>
      <w:proofErr w:type="gramStart"/>
      <w:r w:rsidRPr="007126C0">
        <w:rPr>
          <w:rFonts w:cstheme="minorHAnsi"/>
          <w:sz w:val="24"/>
          <w:szCs w:val="24"/>
        </w:rPr>
        <w:t xml:space="preserve">  </w:t>
      </w:r>
      <w:r w:rsidRPr="007126C0">
        <w:rPr>
          <w:rFonts w:cstheme="minorHAnsi"/>
          <w:sz w:val="24"/>
          <w:szCs w:val="24"/>
        </w:rPr>
        <w:t>.</w:t>
      </w:r>
      <w:proofErr w:type="gramEnd"/>
      <w:r w:rsidRPr="007126C0">
        <w:rPr>
          <w:rFonts w:cstheme="minorHAnsi"/>
          <w:sz w:val="24"/>
          <w:szCs w:val="24"/>
        </w:rPr>
        <w:t xml:space="preserve"> - </w:t>
      </w:r>
      <w:proofErr w:type="gramStart"/>
      <w:r w:rsidRPr="007126C0">
        <w:rPr>
          <w:rFonts w:cstheme="minorHAnsi"/>
          <w:sz w:val="24"/>
          <w:szCs w:val="24"/>
        </w:rPr>
        <w:t>Trento :</w:t>
      </w:r>
      <w:proofErr w:type="gramEnd"/>
      <w:r w:rsidRPr="007126C0">
        <w:rPr>
          <w:rFonts w:cstheme="minorHAnsi"/>
          <w:sz w:val="24"/>
          <w:szCs w:val="24"/>
        </w:rPr>
        <w:t xml:space="preserve"> SEAC, 2024-</w:t>
      </w:r>
      <w:r w:rsidRPr="007126C0">
        <w:rPr>
          <w:rFonts w:cstheme="minorHAnsi"/>
          <w:sz w:val="24"/>
          <w:szCs w:val="24"/>
        </w:rPr>
        <w:t xml:space="preserve">    </w:t>
      </w:r>
      <w:r w:rsidRPr="007126C0">
        <w:rPr>
          <w:rFonts w:cstheme="minorHAnsi"/>
          <w:sz w:val="24"/>
          <w:szCs w:val="24"/>
        </w:rPr>
        <w:t xml:space="preserve">. - </w:t>
      </w:r>
      <w:proofErr w:type="gramStart"/>
      <w:r w:rsidRPr="007126C0">
        <w:rPr>
          <w:rFonts w:cstheme="minorHAnsi"/>
          <w:sz w:val="24"/>
          <w:szCs w:val="24"/>
        </w:rPr>
        <w:t>volumi ;</w:t>
      </w:r>
      <w:proofErr w:type="gramEnd"/>
      <w:r w:rsidRPr="007126C0">
        <w:rPr>
          <w:rFonts w:cstheme="minorHAnsi"/>
          <w:sz w:val="24"/>
          <w:szCs w:val="24"/>
        </w:rPr>
        <w:t xml:space="preserve"> 30 cm. </w:t>
      </w:r>
      <w:r w:rsidRPr="007126C0">
        <w:rPr>
          <w:rFonts w:cstheme="minorHAnsi"/>
          <w:sz w:val="24"/>
          <w:szCs w:val="24"/>
        </w:rPr>
        <w:t>((</w:t>
      </w:r>
      <w:r w:rsidRPr="007126C0">
        <w:rPr>
          <w:rFonts w:cstheme="minorHAnsi"/>
          <w:sz w:val="24"/>
          <w:szCs w:val="24"/>
        </w:rPr>
        <w:t xml:space="preserve">Annuale. - A cura di Ennio </w:t>
      </w:r>
      <w:proofErr w:type="spellStart"/>
      <w:r w:rsidRPr="007126C0">
        <w:rPr>
          <w:rFonts w:cstheme="minorHAnsi"/>
          <w:sz w:val="24"/>
          <w:szCs w:val="24"/>
        </w:rPr>
        <w:t>Vial</w:t>
      </w:r>
      <w:proofErr w:type="spellEnd"/>
      <w:r w:rsidRPr="007126C0">
        <w:rPr>
          <w:rFonts w:cstheme="minorHAnsi"/>
          <w:sz w:val="24"/>
          <w:szCs w:val="24"/>
        </w:rPr>
        <w:t xml:space="preserve">, Silvia Bettiol, Adriana </w:t>
      </w:r>
      <w:proofErr w:type="spellStart"/>
      <w:r w:rsidRPr="007126C0">
        <w:rPr>
          <w:rFonts w:cstheme="minorHAnsi"/>
          <w:sz w:val="24"/>
          <w:szCs w:val="24"/>
        </w:rPr>
        <w:t>Barea</w:t>
      </w:r>
      <w:proofErr w:type="spellEnd"/>
      <w:r w:rsidRPr="007126C0">
        <w:rPr>
          <w:rFonts w:cstheme="minorHAnsi"/>
          <w:sz w:val="24"/>
          <w:szCs w:val="24"/>
        </w:rPr>
        <w:t>.</w:t>
      </w:r>
      <w:r w:rsidRPr="007126C0">
        <w:rPr>
          <w:rFonts w:cstheme="minorHAnsi"/>
          <w:sz w:val="24"/>
          <w:szCs w:val="24"/>
        </w:rPr>
        <w:t xml:space="preserve"> - </w:t>
      </w:r>
      <w:r w:rsidRPr="007126C0">
        <w:rPr>
          <w:rFonts w:cstheme="minorHAnsi"/>
          <w:sz w:val="24"/>
          <w:szCs w:val="24"/>
        </w:rPr>
        <w:t>CFI1147327</w:t>
      </w:r>
    </w:p>
    <w:p w14:paraId="4D4C0FCD" w14:textId="3A0F1DD8" w:rsidR="007126C0" w:rsidRPr="007126C0" w:rsidRDefault="007126C0" w:rsidP="007126C0">
      <w:pPr>
        <w:spacing w:after="0" w:line="240" w:lineRule="auto"/>
        <w:jc w:val="both"/>
        <w:rPr>
          <w:rFonts w:cstheme="minorHAnsi"/>
          <w:sz w:val="24"/>
          <w:szCs w:val="24"/>
        </w:rPr>
      </w:pPr>
      <w:r w:rsidRPr="007126C0">
        <w:rPr>
          <w:rFonts w:cstheme="minorHAnsi"/>
          <w:sz w:val="24"/>
          <w:szCs w:val="24"/>
        </w:rPr>
        <w:t>Fa parte della collezione: *</w:t>
      </w:r>
      <w:r w:rsidRPr="007126C0">
        <w:rPr>
          <w:rFonts w:cstheme="minorHAnsi"/>
          <w:sz w:val="24"/>
          <w:szCs w:val="24"/>
        </w:rPr>
        <w:t>Editoria fiscale. Guide operative</w:t>
      </w:r>
    </w:p>
    <w:p w14:paraId="59B1E0DF" w14:textId="34029765" w:rsidR="007126C0" w:rsidRPr="007126C0" w:rsidRDefault="007126C0" w:rsidP="007126C0">
      <w:pPr>
        <w:spacing w:after="0" w:line="240" w:lineRule="auto"/>
        <w:jc w:val="both"/>
        <w:rPr>
          <w:rFonts w:cstheme="minorHAnsi"/>
          <w:sz w:val="24"/>
          <w:szCs w:val="24"/>
        </w:rPr>
      </w:pPr>
      <w:r w:rsidRPr="007126C0">
        <w:rPr>
          <w:rFonts w:cstheme="minorHAnsi"/>
          <w:sz w:val="24"/>
          <w:szCs w:val="24"/>
        </w:rPr>
        <w:t>Soggetto:</w:t>
      </w:r>
      <w:r w:rsidRPr="007126C0">
        <w:rPr>
          <w:sz w:val="24"/>
          <w:szCs w:val="24"/>
        </w:rPr>
        <w:t xml:space="preserve"> </w:t>
      </w:r>
      <w:r w:rsidRPr="007126C0">
        <w:rPr>
          <w:rFonts w:cstheme="minorHAnsi"/>
          <w:sz w:val="24"/>
          <w:szCs w:val="24"/>
        </w:rPr>
        <w:t>Doppia imposizione - Convenzioni internazionali</w:t>
      </w:r>
    </w:p>
    <w:p w14:paraId="5C6552E5" w14:textId="77777777" w:rsidR="007126C0" w:rsidRPr="007126C0" w:rsidRDefault="007126C0" w:rsidP="007126C0">
      <w:pPr>
        <w:spacing w:after="0" w:line="240" w:lineRule="auto"/>
        <w:jc w:val="both"/>
        <w:rPr>
          <w:rFonts w:cstheme="minorHAnsi"/>
        </w:rPr>
      </w:pPr>
    </w:p>
    <w:p w14:paraId="1D2F3AA9" w14:textId="77777777" w:rsidR="007126C0" w:rsidRPr="007126C0" w:rsidRDefault="007126C0" w:rsidP="007126C0">
      <w:pPr>
        <w:spacing w:after="0" w:line="240" w:lineRule="auto"/>
        <w:jc w:val="both"/>
        <w:rPr>
          <w:rFonts w:cstheme="minorHAnsi"/>
          <w:b/>
          <w:bCs/>
          <w:color w:val="C00000"/>
          <w:sz w:val="44"/>
          <w:szCs w:val="44"/>
        </w:rPr>
      </w:pPr>
      <w:r w:rsidRPr="007126C0">
        <w:rPr>
          <w:rFonts w:cstheme="minorHAnsi"/>
          <w:b/>
          <w:bCs/>
          <w:color w:val="C00000"/>
          <w:sz w:val="44"/>
          <w:szCs w:val="44"/>
        </w:rPr>
        <w:t>Informazioni storico-bibliografiche</w:t>
      </w:r>
    </w:p>
    <w:p w14:paraId="106C362D" w14:textId="6B2D127A" w:rsidR="007126C0" w:rsidRPr="007126C0" w:rsidRDefault="007126C0" w:rsidP="007126C0">
      <w:pPr>
        <w:spacing w:after="0" w:line="240" w:lineRule="auto"/>
        <w:jc w:val="both"/>
        <w:rPr>
          <w:rFonts w:cstheme="minorHAnsi"/>
        </w:rPr>
      </w:pPr>
      <w:r w:rsidRPr="007126C0">
        <w:rPr>
          <w:rFonts w:cstheme="minorHAnsi"/>
        </w:rPr>
        <w:t>La pubblicazione, nel pieno rispetto di un imprescindibile rigore scientifico, affronta, con il classico stile pratico operativo di SEAC, il delicato tema delle</w:t>
      </w:r>
      <w:r w:rsidRPr="007126C0">
        <w:rPr>
          <w:rFonts w:cstheme="minorHAnsi"/>
          <w:b/>
          <w:bCs/>
        </w:rPr>
        <w:t xml:space="preserve"> Convenzioni contro le doppie imposizioni sui redditi.</w:t>
      </w:r>
      <w:r w:rsidRPr="007126C0">
        <w:rPr>
          <w:rFonts w:cstheme="minorHAnsi"/>
        </w:rPr>
        <w:t xml:space="preserve"> </w:t>
      </w:r>
      <w:r w:rsidRPr="007126C0">
        <w:rPr>
          <w:rFonts w:cstheme="minorHAnsi"/>
        </w:rPr>
        <w:t>Il testo si propone come uno strumento utile per approcciare le convenzioni contro le doppie imposizioni, il loro risvolto su</w:t>
      </w:r>
      <w:r w:rsidRPr="007126C0">
        <w:rPr>
          <w:rFonts w:cstheme="minorHAnsi"/>
          <w:b/>
          <w:bCs/>
        </w:rPr>
        <w:t xml:space="preserve"> redditi prodotti da residenti in Italia all’estero o prodotti in Italia da non residenti</w:t>
      </w:r>
      <w:r w:rsidRPr="007126C0">
        <w:rPr>
          <w:rFonts w:cstheme="minorHAnsi"/>
        </w:rPr>
        <w:t>, ed il</w:t>
      </w:r>
      <w:r w:rsidRPr="007126C0">
        <w:rPr>
          <w:rFonts w:cstheme="minorHAnsi"/>
          <w:b/>
          <w:bCs/>
        </w:rPr>
        <w:t xml:space="preserve"> commentario OCSE</w:t>
      </w:r>
      <w:r w:rsidRPr="007126C0">
        <w:rPr>
          <w:rFonts w:cstheme="minorHAnsi"/>
        </w:rPr>
        <w:t xml:space="preserve"> al fine di risolvere problematiche di tassazione a livello internazionale.</w:t>
      </w:r>
      <w:r w:rsidRPr="007126C0">
        <w:rPr>
          <w:rFonts w:cstheme="minorHAnsi"/>
        </w:rPr>
        <w:t xml:space="preserve"> </w:t>
      </w:r>
      <w:r w:rsidRPr="007126C0">
        <w:rPr>
          <w:rFonts w:cstheme="minorHAnsi"/>
        </w:rPr>
        <w:t xml:space="preserve">Verranno esaminati gli articoli delle convenzioni partendo dal </w:t>
      </w:r>
      <w:r w:rsidRPr="007126C0">
        <w:rPr>
          <w:rFonts w:cstheme="minorHAnsi"/>
          <w:b/>
          <w:bCs/>
        </w:rPr>
        <w:t>Modello OCSE 2017</w:t>
      </w:r>
      <w:r w:rsidRPr="007126C0">
        <w:rPr>
          <w:rFonts w:cstheme="minorHAnsi"/>
        </w:rPr>
        <w:t xml:space="preserve"> e proponendo una analisi comparata delle varie convenzioni italiane. Ampio spazio viene dedicato al commento ai vari articoli del Modello OCSE 2017 cui traggono spunto i vari Stati nel sottoscrivere poi le singole convenzioni contro le doppie imposizioni. Le Convenzioni contro le doppie imposizioni nascono, infatti, generalmente per dirimere conflitti di doppia residenza e/o doppia tassazione. Per alcune tipologie di redditi il modello OCSE propone la tassazione esclusiva nel paese di residenza del percettore, per altri la tassazione è ammessa in via esclusiva nel Paese del soggetto pagante. In altri casi ancora il Modello OCSE ammette la tassazione concorrente, purché poi gli Stati adottino (a seconda del metodo preferito) la via del riconoscimento di un credito di imposta oppure di un’apposita esenzione. L’obiettivo è quindi quello di fornire al professionista uno strumento operativo di interpretazione circa l’applicabilità del disposto Convenzionale da adattarsi poi alle singole Convenzioni stipulate dall’Italia con i vari Paesi.</w:t>
      </w:r>
    </w:p>
    <w:p w14:paraId="3B2AD333" w14:textId="77777777" w:rsidR="007126C0" w:rsidRPr="007126C0" w:rsidRDefault="007126C0" w:rsidP="007126C0">
      <w:pPr>
        <w:spacing w:after="0" w:line="240" w:lineRule="auto"/>
        <w:jc w:val="both"/>
        <w:rPr>
          <w:rFonts w:cstheme="minorHAnsi"/>
          <w:b/>
          <w:bCs/>
        </w:rPr>
        <w:sectPr w:rsidR="007126C0" w:rsidRPr="007126C0" w:rsidSect="003811E4">
          <w:type w:val="continuous"/>
          <w:pgSz w:w="11906" w:h="16838" w:code="9"/>
          <w:pgMar w:top="1418" w:right="1418" w:bottom="1418" w:left="1134" w:header="709" w:footer="709" w:gutter="0"/>
          <w:cols w:space="708"/>
          <w:docGrid w:linePitch="360"/>
        </w:sectPr>
      </w:pPr>
    </w:p>
    <w:p w14:paraId="226706C2" w14:textId="77777777" w:rsidR="007126C0" w:rsidRPr="007126C0" w:rsidRDefault="007126C0" w:rsidP="007126C0">
      <w:pPr>
        <w:spacing w:after="0" w:line="240" w:lineRule="auto"/>
        <w:jc w:val="both"/>
        <w:rPr>
          <w:rFonts w:cstheme="minorHAnsi"/>
          <w:b/>
          <w:bCs/>
        </w:rPr>
      </w:pPr>
      <w:r w:rsidRPr="007126C0">
        <w:rPr>
          <w:rFonts w:cstheme="minorHAnsi"/>
          <w:b/>
          <w:bCs/>
        </w:rPr>
        <w:t>STRUTTURA DEL LIBRO:</w:t>
      </w:r>
    </w:p>
    <w:p w14:paraId="657B12F8" w14:textId="77777777" w:rsidR="007126C0" w:rsidRPr="007126C0" w:rsidRDefault="007126C0" w:rsidP="007126C0">
      <w:pPr>
        <w:spacing w:after="0" w:line="240" w:lineRule="auto"/>
        <w:jc w:val="both"/>
        <w:rPr>
          <w:rFonts w:cstheme="minorHAnsi"/>
          <w:b/>
          <w:bCs/>
        </w:rPr>
      </w:pPr>
      <w:r w:rsidRPr="007126C0">
        <w:rPr>
          <w:rFonts w:cstheme="minorHAnsi"/>
          <w:b/>
          <w:bCs/>
        </w:rPr>
        <w:t>Sezione Prima - IL MODELLO DI CONVENZIONE OCSE: APPLICABILITÀ E ASPETTI GENERALI</w:t>
      </w:r>
    </w:p>
    <w:p w14:paraId="3D93B3C6"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Le Convenzioni contro le doppie imposizioni</w:t>
      </w:r>
    </w:p>
    <w:p w14:paraId="66647A2F"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I principi di tassazione</w:t>
      </w:r>
    </w:p>
    <w:p w14:paraId="37B05350"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I problemi della doppia imposizione</w:t>
      </w:r>
    </w:p>
    <w:p w14:paraId="0278EFAB"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Il Modello OCSE 2017: considerazioni introduttive</w:t>
      </w:r>
    </w:p>
    <w:p w14:paraId="748F3129"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La Convenzione contro le doppie imposizioni nelle fonti del diritto</w:t>
      </w:r>
    </w:p>
    <w:p w14:paraId="345DDB06"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La struttura della Convenzione</w:t>
      </w:r>
    </w:p>
    <w:p w14:paraId="0FA83998"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Ambito soggettivo di applicazione</w:t>
      </w:r>
    </w:p>
    <w:p w14:paraId="43B6297A"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Lo step successivo: la residenza</w:t>
      </w:r>
    </w:p>
    <w:p w14:paraId="3E61FC12"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Imposte considerate dalla Convenzione</w:t>
      </w:r>
    </w:p>
    <w:p w14:paraId="501014B5"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La disciplina delle varie casistiche reddituali</w:t>
      </w:r>
    </w:p>
    <w:p w14:paraId="13F73940"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Le imposte patrimoniali</w:t>
      </w:r>
    </w:p>
    <w:p w14:paraId="0E5C0965"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Il credito per le imposte estere</w:t>
      </w:r>
    </w:p>
    <w:p w14:paraId="7BE1238E"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Disposizioni speciali e finali</w:t>
      </w:r>
    </w:p>
    <w:p w14:paraId="071E03D0"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Gli errori frequenti nell’applicazioni delle convenzioni</w:t>
      </w:r>
    </w:p>
    <w:p w14:paraId="2584F48B"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Un quadro di sintesi delle previsioni convenzionali</w:t>
      </w:r>
    </w:p>
    <w:p w14:paraId="78A631E3"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Le Convenzioni stipulate dall’Italia</w:t>
      </w:r>
    </w:p>
    <w:p w14:paraId="1AD4D6EA"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I soggetti</w:t>
      </w:r>
    </w:p>
    <w:p w14:paraId="724595D0"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lastRenderedPageBreak/>
        <w:t>Il Modello OCSE 2017</w:t>
      </w:r>
    </w:p>
    <w:p w14:paraId="72913F5A"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Applicazione delle Convenzioni alle società trasparenti</w:t>
      </w:r>
    </w:p>
    <w:p w14:paraId="49384406"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Il trust come soggetto cui si applica la Convenzione</w:t>
      </w:r>
    </w:p>
    <w:p w14:paraId="0E967C6A"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La residenza</w:t>
      </w:r>
    </w:p>
    <w:p w14:paraId="3E2FA701"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Il Modello OCSE 2017</w:t>
      </w:r>
    </w:p>
    <w:p w14:paraId="4526A98E"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La questione della residenza</w:t>
      </w:r>
    </w:p>
    <w:p w14:paraId="77437E68"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La rete di convenzioni stipulate dall’Italia</w:t>
      </w:r>
    </w:p>
    <w:p w14:paraId="7355431B" w14:textId="77777777" w:rsidR="007126C0" w:rsidRPr="007126C0" w:rsidRDefault="007126C0" w:rsidP="007126C0">
      <w:pPr>
        <w:numPr>
          <w:ilvl w:val="0"/>
          <w:numId w:val="2"/>
        </w:numPr>
        <w:spacing w:after="0" w:line="240" w:lineRule="auto"/>
        <w:jc w:val="both"/>
        <w:rPr>
          <w:rFonts w:cstheme="minorHAnsi"/>
        </w:rPr>
      </w:pPr>
      <w:r w:rsidRPr="007126C0">
        <w:rPr>
          <w:rFonts w:cstheme="minorHAnsi"/>
        </w:rPr>
        <w:t>L’articolo 4 nelle Convenzioni stipulate in Italia</w:t>
      </w:r>
    </w:p>
    <w:p w14:paraId="28FC4F3B" w14:textId="77777777" w:rsidR="007126C0" w:rsidRPr="007126C0" w:rsidRDefault="007126C0" w:rsidP="007126C0">
      <w:pPr>
        <w:spacing w:after="0" w:line="240" w:lineRule="auto"/>
        <w:jc w:val="both"/>
        <w:rPr>
          <w:rFonts w:cstheme="minorHAnsi"/>
          <w:b/>
          <w:bCs/>
        </w:rPr>
      </w:pPr>
      <w:r w:rsidRPr="007126C0">
        <w:rPr>
          <w:rFonts w:cstheme="minorHAnsi"/>
          <w:b/>
          <w:bCs/>
        </w:rPr>
        <w:t>Sezione Seconda - REDDITI DA IMMOBILI E FINANZIARI</w:t>
      </w:r>
    </w:p>
    <w:p w14:paraId="72785DFA"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 redditi da immobili</w:t>
      </w:r>
    </w:p>
    <w:p w14:paraId="0EBA2DF8"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Il Modello OCSE 2017</w:t>
      </w:r>
    </w:p>
    <w:p w14:paraId="1782372C"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 principali aspetti affrontati dal Commentario</w:t>
      </w:r>
    </w:p>
    <w:p w14:paraId="798B4FAC"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L’articolo 6 nelle Convenzioni stipulate in Italia</w:t>
      </w:r>
    </w:p>
    <w:p w14:paraId="707C7EA1"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 dividendi</w:t>
      </w:r>
    </w:p>
    <w:p w14:paraId="7312DE25"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Il Modello OCSE 2017</w:t>
      </w:r>
    </w:p>
    <w:p w14:paraId="35E134CB"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Principi di tassazione</w:t>
      </w:r>
    </w:p>
    <w:p w14:paraId="1BB31342"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L’articolo 10 nelle Convenzioni stipulate in Italia</w:t>
      </w:r>
    </w:p>
    <w:p w14:paraId="3FF697B4"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Gli interessi</w:t>
      </w:r>
    </w:p>
    <w:p w14:paraId="7226AE3A"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Il Modello OCSE 2017</w:t>
      </w:r>
    </w:p>
    <w:p w14:paraId="50F6DF1B"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Principi di tassazione</w:t>
      </w:r>
    </w:p>
    <w:p w14:paraId="29D9E859"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L’articolo 11 nelle Convenzioni stipulate in Italia</w:t>
      </w:r>
    </w:p>
    <w:p w14:paraId="27B37A7F"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 canoni</w:t>
      </w:r>
    </w:p>
    <w:p w14:paraId="2B6F1DA6"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Il Modello OCSE 2017</w:t>
      </w:r>
    </w:p>
    <w:p w14:paraId="60D13608"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La presenza della stabile organizzazione</w:t>
      </w:r>
    </w:p>
    <w:p w14:paraId="5512AABF"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Le relazioni infragruppo</w:t>
      </w:r>
    </w:p>
    <w:p w14:paraId="482D330F"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L’articolo 12 nelle Convenzioni stipulate in Italia</w:t>
      </w:r>
    </w:p>
    <w:p w14:paraId="090C9FD8"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Le plusvalenze/capital gain</w:t>
      </w:r>
    </w:p>
    <w:p w14:paraId="445CC955"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Il Modello OCSE 2017</w:t>
      </w:r>
    </w:p>
    <w:p w14:paraId="36A48DA2"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Plusvalenze derivanti dalla cessione di immobili (paragrafo 1)</w:t>
      </w:r>
    </w:p>
    <w:p w14:paraId="61DA4BD4"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Plusvalenze derivanti dalla cessione di beni facenti parte della stabile organizzazione (paragrafo 2)</w:t>
      </w:r>
    </w:p>
    <w:p w14:paraId="0E9BE4E7"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Plusvalenze derivanti dalla cessione di navi e aerei (paragrafo 3)</w:t>
      </w:r>
    </w:p>
    <w:p w14:paraId="0DA92014"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Plusvalenze derivanti dalla cessione di partecipazioni in società immobiliari (paragrafo 4)</w:t>
      </w:r>
    </w:p>
    <w:p w14:paraId="2C404E8C"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Plusvalenze derivanti dalla cessione di altri beni (paragrafo 5)</w:t>
      </w:r>
    </w:p>
    <w:p w14:paraId="3A121BF0"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L’articolo 13 nelle Convenzioni stipulate in Italia</w:t>
      </w:r>
    </w:p>
    <w:p w14:paraId="63C6A02D"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Il beneficiario effettivo nelle Convenzioni contro le doppie imposizioni</w:t>
      </w:r>
    </w:p>
    <w:p w14:paraId="55FBBDF5"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 xml:space="preserve">Il concetto di beneficiario effettivo dalla common </w:t>
      </w:r>
      <w:proofErr w:type="spellStart"/>
      <w:r w:rsidRPr="007126C0">
        <w:rPr>
          <w:rFonts w:cstheme="minorHAnsi"/>
        </w:rPr>
        <w:t>law</w:t>
      </w:r>
      <w:proofErr w:type="spellEnd"/>
      <w:r w:rsidRPr="007126C0">
        <w:rPr>
          <w:rFonts w:cstheme="minorHAnsi"/>
        </w:rPr>
        <w:t xml:space="preserve"> alla convenzione</w:t>
      </w:r>
    </w:p>
    <w:p w14:paraId="35B33127"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Lo sforzo di una definizione</w:t>
      </w:r>
    </w:p>
    <w:p w14:paraId="36717425"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La doppia imposizione economica e giuridica</w:t>
      </w:r>
    </w:p>
    <w:p w14:paraId="39817427"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L’evoluzione dell’OCSE</w:t>
      </w:r>
    </w:p>
    <w:p w14:paraId="3651C54D"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Il Modello OCSE 2017</w:t>
      </w:r>
    </w:p>
    <w:p w14:paraId="7A0AD93C"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Le convenzioni dell’Italia</w:t>
      </w:r>
    </w:p>
    <w:p w14:paraId="0D3CD0D4"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Le sentenze danesi</w:t>
      </w:r>
    </w:p>
    <w:p w14:paraId="71241C92"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La direttiva interessi e canoni</w:t>
      </w:r>
    </w:p>
    <w:p w14:paraId="1168F8CA"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La direttiva madre figlia</w:t>
      </w:r>
    </w:p>
    <w:p w14:paraId="031D18A8" w14:textId="77777777" w:rsidR="007126C0" w:rsidRPr="007126C0" w:rsidRDefault="007126C0" w:rsidP="007126C0">
      <w:pPr>
        <w:numPr>
          <w:ilvl w:val="0"/>
          <w:numId w:val="3"/>
        </w:numPr>
        <w:spacing w:after="0" w:line="240" w:lineRule="auto"/>
        <w:jc w:val="both"/>
        <w:rPr>
          <w:rFonts w:cstheme="minorHAnsi"/>
        </w:rPr>
      </w:pPr>
      <w:r w:rsidRPr="007126C0">
        <w:rPr>
          <w:rFonts w:cstheme="minorHAnsi"/>
        </w:rPr>
        <w:t>La Giurisprudenza del 2023 vuole fornire criteri univoci</w:t>
      </w:r>
    </w:p>
    <w:p w14:paraId="0E478C26" w14:textId="77777777" w:rsidR="007126C0" w:rsidRPr="007126C0" w:rsidRDefault="007126C0" w:rsidP="007126C0">
      <w:pPr>
        <w:spacing w:after="0" w:line="240" w:lineRule="auto"/>
        <w:jc w:val="both"/>
        <w:rPr>
          <w:rFonts w:cstheme="minorHAnsi"/>
          <w:b/>
          <w:bCs/>
        </w:rPr>
      </w:pPr>
      <w:r w:rsidRPr="007126C0">
        <w:rPr>
          <w:rFonts w:cstheme="minorHAnsi"/>
          <w:b/>
          <w:bCs/>
        </w:rPr>
        <w:t>Sezione Terza - LIBERI PROFESSIONISTI, SPORTIVI E ARTISTI</w:t>
      </w:r>
    </w:p>
    <w:p w14:paraId="69D83A3D"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I professionisti - Reddito derivante da lavoro autonomo</w:t>
      </w:r>
    </w:p>
    <w:p w14:paraId="273F1BFD"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Il Modello OCSE 1977</w:t>
      </w:r>
    </w:p>
    <w:p w14:paraId="3B218CFB"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Le convenzioni italiane</w:t>
      </w:r>
    </w:p>
    <w:p w14:paraId="112A4B62"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I professionisti nel Modello OCSE</w:t>
      </w:r>
    </w:p>
    <w:p w14:paraId="1E9AAC0C"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Come viene tassato il professionista non residente in Italia?</w:t>
      </w:r>
    </w:p>
    <w:p w14:paraId="2EC6F9BD"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L’istanza di rimborso</w:t>
      </w:r>
    </w:p>
    <w:p w14:paraId="2267960A"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L’applicazione diretta della Convenzione</w:t>
      </w:r>
    </w:p>
    <w:p w14:paraId="7AF3B0F5"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Le convenzioni italiane: analisi comparata</w:t>
      </w:r>
    </w:p>
    <w:p w14:paraId="71D8911A"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L’applicazione delle ritenute in caso di presenza della base fissa</w:t>
      </w:r>
    </w:p>
    <w:p w14:paraId="1C437414"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La particolarità della convenzione con la Repubblica di San Marino</w:t>
      </w:r>
    </w:p>
    <w:p w14:paraId="62C8F0D1"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I servizi tecnici</w:t>
      </w:r>
    </w:p>
    <w:p w14:paraId="51CB5BB0"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Il Modello OCSE 2017</w:t>
      </w:r>
    </w:p>
    <w:p w14:paraId="01896002"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Le convenzioni italiane</w:t>
      </w:r>
    </w:p>
    <w:p w14:paraId="0E34E3E1"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Gli artisti e gli sportivi</w:t>
      </w:r>
    </w:p>
    <w:p w14:paraId="1E16D63B"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Il Modello OCSE 2017</w:t>
      </w:r>
    </w:p>
    <w:p w14:paraId="6D2549D8"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Chi sono gli artisti e gli sportivi</w:t>
      </w:r>
    </w:p>
    <w:p w14:paraId="4A8ED2B3"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Le star companies</w:t>
      </w:r>
    </w:p>
    <w:p w14:paraId="6435FC8F"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Doppia imposizione e doppia esenzione</w:t>
      </w:r>
    </w:p>
    <w:p w14:paraId="0626EA7F"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 xml:space="preserve">Le manifestazioni </w:t>
      </w:r>
      <w:proofErr w:type="spellStart"/>
      <w:r w:rsidRPr="007126C0">
        <w:rPr>
          <w:rFonts w:cstheme="minorHAnsi"/>
        </w:rPr>
        <w:t>finanziate</w:t>
      </w:r>
      <w:proofErr w:type="spellEnd"/>
      <w:r w:rsidRPr="007126C0">
        <w:rPr>
          <w:rFonts w:cstheme="minorHAnsi"/>
        </w:rPr>
        <w:t xml:space="preserve"> con fondi pubblici</w:t>
      </w:r>
    </w:p>
    <w:p w14:paraId="1DFEB6DF"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Come ripartire uno stipendio complessivo</w:t>
      </w:r>
    </w:p>
    <w:p w14:paraId="4FBA4D58"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Ma gli “influencer” sono artisti che rientrano nell’art. 17?</w:t>
      </w:r>
    </w:p>
    <w:p w14:paraId="39361BFC" w14:textId="77777777" w:rsidR="007126C0" w:rsidRPr="007126C0" w:rsidRDefault="007126C0" w:rsidP="007126C0">
      <w:pPr>
        <w:numPr>
          <w:ilvl w:val="0"/>
          <w:numId w:val="4"/>
        </w:numPr>
        <w:spacing w:after="0" w:line="240" w:lineRule="auto"/>
        <w:jc w:val="both"/>
        <w:rPr>
          <w:rFonts w:cstheme="minorHAnsi"/>
        </w:rPr>
      </w:pPr>
      <w:r w:rsidRPr="007126C0">
        <w:rPr>
          <w:rFonts w:cstheme="minorHAnsi"/>
        </w:rPr>
        <w:t>L’articolo 17 nelle Convenzioni stipulate in Italia</w:t>
      </w:r>
    </w:p>
    <w:p w14:paraId="6BDC656A" w14:textId="77777777" w:rsidR="007126C0" w:rsidRPr="007126C0" w:rsidRDefault="007126C0" w:rsidP="007126C0">
      <w:pPr>
        <w:spacing w:after="0" w:line="240" w:lineRule="auto"/>
        <w:jc w:val="both"/>
        <w:rPr>
          <w:rFonts w:cstheme="minorHAnsi"/>
          <w:b/>
          <w:bCs/>
        </w:rPr>
      </w:pPr>
      <w:r w:rsidRPr="007126C0">
        <w:rPr>
          <w:rFonts w:cstheme="minorHAnsi"/>
          <w:b/>
          <w:bCs/>
        </w:rPr>
        <w:t>Sezione Quarta - LAVORATORI DIPENDENTI, ASSIMILATI E PENSIONATI</w:t>
      </w:r>
    </w:p>
    <w:p w14:paraId="012B8FAB"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 redditi da lavoro dipendente</w:t>
      </w:r>
    </w:p>
    <w:p w14:paraId="7F3345D8"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lastRenderedPageBreak/>
        <w:t>Il Modello OCSE 2017</w:t>
      </w:r>
    </w:p>
    <w:p w14:paraId="6D0B6E8C"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 principali aspetti affrontati dal commentario</w:t>
      </w:r>
    </w:p>
    <w:p w14:paraId="6A9CD8A2"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Le stock option</w:t>
      </w:r>
    </w:p>
    <w:p w14:paraId="1E2FAEB9"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L’articolo 15 (1,2) nelle Convenzioni stipulate dall’Italia</w:t>
      </w:r>
    </w:p>
    <w:p w14:paraId="264EA9F4"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 redditi da lavoro dipendente - I membri di equipaggi aerei e navi</w:t>
      </w:r>
    </w:p>
    <w:p w14:paraId="32DAB8B4"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Il Modello OCSE 2017</w:t>
      </w:r>
    </w:p>
    <w:p w14:paraId="0BEC9AAD"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L’articolo 15 (3) nelle Convenzioni stipulate dall’Italia</w:t>
      </w:r>
    </w:p>
    <w:p w14:paraId="0EF684B1"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 redditi da lavoro dipendente - Frontalieri e smart worker</w:t>
      </w:r>
    </w:p>
    <w:p w14:paraId="224D235D"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Cosa significa frontaliere?</w:t>
      </w:r>
    </w:p>
    <w:p w14:paraId="04526EF2"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La definizione di frontaliere nelle Convenzioni stipulate con l’Italia</w:t>
      </w:r>
    </w:p>
    <w:p w14:paraId="6976EA51"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Cosa significa smart worker?</w:t>
      </w:r>
    </w:p>
    <w:p w14:paraId="12080C4E"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Lo Smart worker può configurare stabile organizzazione dell’impresa estera?</w:t>
      </w:r>
    </w:p>
    <w:p w14:paraId="59CCCEDF"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 xml:space="preserve">I compensi al </w:t>
      </w:r>
      <w:proofErr w:type="spellStart"/>
      <w:r w:rsidRPr="007126C0">
        <w:rPr>
          <w:rFonts w:cstheme="minorHAnsi"/>
        </w:rPr>
        <w:t>CdA</w:t>
      </w:r>
      <w:proofErr w:type="spellEnd"/>
      <w:r w:rsidRPr="007126C0">
        <w:rPr>
          <w:rFonts w:cstheme="minorHAnsi"/>
        </w:rPr>
        <w:t xml:space="preserve"> - Directors’ </w:t>
      </w:r>
      <w:proofErr w:type="spellStart"/>
      <w:r w:rsidRPr="007126C0">
        <w:rPr>
          <w:rFonts w:cstheme="minorHAnsi"/>
        </w:rPr>
        <w:t>fee</w:t>
      </w:r>
      <w:proofErr w:type="spellEnd"/>
      <w:r w:rsidRPr="007126C0">
        <w:rPr>
          <w:rFonts w:cstheme="minorHAnsi"/>
        </w:rPr>
        <w:t xml:space="preserve"> e compensi simili</w:t>
      </w:r>
    </w:p>
    <w:p w14:paraId="2129263E"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Il Modello OCSE 2017</w:t>
      </w:r>
    </w:p>
    <w:p w14:paraId="42ACDB36"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L’articolo 16 nelle Convenzioni stipulate in Italia</w:t>
      </w:r>
    </w:p>
    <w:p w14:paraId="7C62736A"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Redditi da pubblico impiego</w:t>
      </w:r>
    </w:p>
    <w:p w14:paraId="67F2B0AD"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Il Modello OCSE 2017</w:t>
      </w:r>
    </w:p>
    <w:p w14:paraId="6470D0C3"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Il principio di tassazione esclusiva</w:t>
      </w:r>
    </w:p>
    <w:p w14:paraId="5705A29A"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Aspetti particolari relativi alle pensioni</w:t>
      </w:r>
    </w:p>
    <w:p w14:paraId="0E3BDF04"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 servizi commerciali per enti pubblici (paragrafo 3)</w:t>
      </w:r>
    </w:p>
    <w:p w14:paraId="29E7539A"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Le pensioni private</w:t>
      </w:r>
    </w:p>
    <w:p w14:paraId="2A7F08CC"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Il Modello OCSE 2017</w:t>
      </w:r>
    </w:p>
    <w:p w14:paraId="66814962"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Gli articoli 18 e 19 nelle Convenzioni stipulate in Italia</w:t>
      </w:r>
    </w:p>
    <w:p w14:paraId="08E91530"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 redditi a studenti e apprendisti</w:t>
      </w:r>
    </w:p>
    <w:p w14:paraId="70DE8B15" w14:textId="77777777" w:rsidR="007126C0" w:rsidRPr="007126C0" w:rsidRDefault="007126C0" w:rsidP="007126C0">
      <w:pPr>
        <w:numPr>
          <w:ilvl w:val="0"/>
          <w:numId w:val="5"/>
        </w:numPr>
        <w:spacing w:after="0" w:line="240" w:lineRule="auto"/>
        <w:jc w:val="both"/>
        <w:rPr>
          <w:rFonts w:cstheme="minorHAnsi"/>
        </w:rPr>
      </w:pPr>
      <w:r w:rsidRPr="007126C0">
        <w:rPr>
          <w:rFonts w:cstheme="minorHAnsi"/>
        </w:rPr>
        <w:t>Il Modello OCSE 2017</w:t>
      </w:r>
    </w:p>
    <w:p w14:paraId="248A8AC2" w14:textId="77777777" w:rsidR="007126C0" w:rsidRPr="007126C0" w:rsidRDefault="007126C0" w:rsidP="007126C0">
      <w:pPr>
        <w:spacing w:after="0" w:line="240" w:lineRule="auto"/>
        <w:jc w:val="both"/>
        <w:rPr>
          <w:rFonts w:cstheme="minorHAnsi"/>
          <w:b/>
          <w:bCs/>
        </w:rPr>
      </w:pPr>
      <w:r w:rsidRPr="007126C0">
        <w:rPr>
          <w:rFonts w:cstheme="minorHAnsi"/>
          <w:b/>
          <w:bCs/>
        </w:rPr>
        <w:t>Sezione Quinta - ALTRI ASPETTI DI INTERESSE</w:t>
      </w:r>
    </w:p>
    <w:p w14:paraId="71F9FE21"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 redditi diversi</w:t>
      </w:r>
    </w:p>
    <w:p w14:paraId="1E972709"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Il Modello OCSE 2017</w:t>
      </w:r>
    </w:p>
    <w:p w14:paraId="27C13F3D"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 chiarimenti del commentario</w:t>
      </w:r>
    </w:p>
    <w:p w14:paraId="3BA3DF20"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Altri redditi che ricadono nell’art. 21 del modello</w:t>
      </w:r>
    </w:p>
    <w:p w14:paraId="18B3B1E8"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L’articolo 21 nelle Convenzioni stipulate in Italia</w:t>
      </w:r>
    </w:p>
    <w:p w14:paraId="40BCDE9C"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Beni “patrimonio”</w:t>
      </w:r>
    </w:p>
    <w:p w14:paraId="28B4CB88"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Il Modello OCSE 2017</w:t>
      </w:r>
    </w:p>
    <w:p w14:paraId="3AF0F779"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Le imposte patrimoniali sugli immobili</w:t>
      </w:r>
    </w:p>
    <w:p w14:paraId="4952B958"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Le imposte patrimoniali sui beni della stabile organizzazione</w:t>
      </w:r>
    </w:p>
    <w:p w14:paraId="059D3D63"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Le patrimoniali su navi e aeromobili</w:t>
      </w:r>
    </w:p>
    <w:p w14:paraId="7C48BF53"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Le patrimoniali per altri beni</w:t>
      </w:r>
    </w:p>
    <w:p w14:paraId="0DE0D47B"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L’articolo 22 nelle Convenzioni stipulate in Italia</w:t>
      </w:r>
    </w:p>
    <w:p w14:paraId="054439F2"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Metodi per eliminare la doppia imposizione</w:t>
      </w:r>
    </w:p>
    <w:p w14:paraId="256FA26D"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Il Modello OCSE 2017</w:t>
      </w:r>
    </w:p>
    <w:p w14:paraId="46B6FB33"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 principi della doppia imposizione</w:t>
      </w:r>
    </w:p>
    <w:p w14:paraId="74CFB7EE"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Il metodo della esenzione e il metodo del credito di imposta</w:t>
      </w:r>
    </w:p>
    <w:p w14:paraId="5FD00E95"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Casi pratici di applicazione dei metodi</w:t>
      </w:r>
    </w:p>
    <w:p w14:paraId="4BCC6456"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Il metodo del credito di imposta</w:t>
      </w:r>
    </w:p>
    <w:p w14:paraId="7B321AE5"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Il credito di imposta figurativo</w:t>
      </w:r>
    </w:p>
    <w:p w14:paraId="4C3EB35C"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Il paragrafo 2: l’esenzione con progressione anche per i redditi tassati soltanto in uno stato</w:t>
      </w:r>
    </w:p>
    <w:p w14:paraId="1C73A71E"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La rete di convenzioni stipulate dall’Italia</w:t>
      </w:r>
    </w:p>
    <w:p w14:paraId="1BDEE372"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Il credito di imposta in caso di tassazione sostitutiva</w:t>
      </w:r>
    </w:p>
    <w:p w14:paraId="50C85312"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Il rapporto tra credito convenzionale e credito domestico</w:t>
      </w:r>
    </w:p>
    <w:p w14:paraId="3027BE65"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La clausola antiabuso nel Modello OCSE</w:t>
      </w:r>
    </w:p>
    <w:p w14:paraId="7FBFEEE5"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Il Modello OCSE 2017</w:t>
      </w:r>
    </w:p>
    <w:p w14:paraId="013CCEF7"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La clausola antiabuso</w:t>
      </w:r>
    </w:p>
    <w:p w14:paraId="14DC924E"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L’articolo 29 nelle Convenzioni stipulate in Italia</w:t>
      </w:r>
    </w:p>
    <w:p w14:paraId="6CE57321"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Le Convenzioni contro le doppie imposizioni al nodo della Multilaterale BEPS</w:t>
      </w:r>
    </w:p>
    <w:p w14:paraId="397EB88E"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La Convenzione Multilaterale BEPS</w:t>
      </w:r>
    </w:p>
    <w:p w14:paraId="4D7AEFAF"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Natura della Convenzione: che valenza ha?</w:t>
      </w:r>
    </w:p>
    <w:p w14:paraId="0049ED16"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Entrata in vigore</w:t>
      </w:r>
    </w:p>
    <w:p w14:paraId="2F1916AC" w14:textId="77777777" w:rsidR="007126C0" w:rsidRPr="007126C0" w:rsidRDefault="007126C0" w:rsidP="007126C0">
      <w:pPr>
        <w:numPr>
          <w:ilvl w:val="0"/>
          <w:numId w:val="6"/>
        </w:numPr>
        <w:spacing w:after="0" w:line="240" w:lineRule="auto"/>
        <w:jc w:val="both"/>
        <w:rPr>
          <w:rFonts w:cstheme="minorHAnsi"/>
        </w:rPr>
      </w:pPr>
      <w:r w:rsidRPr="007126C0">
        <w:rPr>
          <w:rFonts w:cstheme="minorHAnsi"/>
        </w:rPr>
        <w:t>Natura delle disposizioni (obbligatorie o non obbligatorie)</w:t>
      </w:r>
    </w:p>
    <w:p w14:paraId="74F50F2F" w14:textId="77777777" w:rsidR="007126C0" w:rsidRPr="007126C0" w:rsidRDefault="007126C0" w:rsidP="007126C0">
      <w:pPr>
        <w:spacing w:after="0" w:line="240" w:lineRule="auto"/>
        <w:jc w:val="both"/>
        <w:rPr>
          <w:rFonts w:cstheme="minorHAnsi"/>
        </w:rPr>
        <w:sectPr w:rsidR="007126C0" w:rsidRPr="007126C0" w:rsidSect="007126C0">
          <w:type w:val="continuous"/>
          <w:pgSz w:w="11906" w:h="16838" w:code="9"/>
          <w:pgMar w:top="1418" w:right="1418" w:bottom="1418" w:left="1134" w:header="709" w:footer="709" w:gutter="0"/>
          <w:cols w:num="2" w:space="708"/>
          <w:docGrid w:linePitch="360"/>
        </w:sectPr>
      </w:pPr>
    </w:p>
    <w:p w14:paraId="1F47B674" w14:textId="36C636CB" w:rsidR="007126C0" w:rsidRPr="007126C0" w:rsidRDefault="007126C0" w:rsidP="007126C0">
      <w:pPr>
        <w:spacing w:after="0" w:line="240" w:lineRule="auto"/>
        <w:jc w:val="both"/>
        <w:rPr>
          <w:rFonts w:cstheme="minorHAnsi"/>
        </w:rPr>
      </w:pPr>
      <w:hyperlink r:id="rId6" w:history="1">
        <w:r w:rsidRPr="007126C0">
          <w:rPr>
            <w:rStyle w:val="Collegamentoipertestuale"/>
            <w:rFonts w:cstheme="minorHAnsi"/>
          </w:rPr>
          <w:t>https://shop.seac.it/guide-operative-e-professionali/11280-le-convenzioni-contro-le-doppie-imposizioni-in-pratica-9791254653500.html?gad_source=1&amp;gclid=Cj0KCQjw4cS-BhDGARIsABg4_J0yrDeTicfl9aAaSi8nZmhdotI70G5AtlqYBaRiZVKjtRj_Y83CEMYaAme9EALw_wcB</w:t>
        </w:r>
      </w:hyperlink>
      <w:r w:rsidRPr="007126C0">
        <w:rPr>
          <w:rFonts w:cstheme="minorHAnsi"/>
        </w:rPr>
        <w:t xml:space="preserve">. </w:t>
      </w:r>
    </w:p>
    <w:sectPr w:rsidR="007126C0" w:rsidRPr="007126C0"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C5FE0"/>
    <w:multiLevelType w:val="multilevel"/>
    <w:tmpl w:val="A32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684407"/>
    <w:multiLevelType w:val="multilevel"/>
    <w:tmpl w:val="F218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F879CA"/>
    <w:multiLevelType w:val="multilevel"/>
    <w:tmpl w:val="184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2D402F"/>
    <w:multiLevelType w:val="multilevel"/>
    <w:tmpl w:val="2E88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287269"/>
    <w:multiLevelType w:val="multilevel"/>
    <w:tmpl w:val="07BE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BB0A46"/>
    <w:multiLevelType w:val="multilevel"/>
    <w:tmpl w:val="8570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7693469">
    <w:abstractNumId w:val="2"/>
  </w:num>
  <w:num w:numId="2" w16cid:durableId="799881314">
    <w:abstractNumId w:val="5"/>
  </w:num>
  <w:num w:numId="3" w16cid:durableId="181751912">
    <w:abstractNumId w:val="1"/>
  </w:num>
  <w:num w:numId="4" w16cid:durableId="821433537">
    <w:abstractNumId w:val="4"/>
  </w:num>
  <w:num w:numId="5" w16cid:durableId="134569853">
    <w:abstractNumId w:val="3"/>
  </w:num>
  <w:num w:numId="6" w16cid:durableId="10184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5588"/>
    <w:rsid w:val="001D5588"/>
    <w:rsid w:val="0031062F"/>
    <w:rsid w:val="003605E3"/>
    <w:rsid w:val="00375F4B"/>
    <w:rsid w:val="003811E4"/>
    <w:rsid w:val="00653982"/>
    <w:rsid w:val="007126C0"/>
    <w:rsid w:val="009C4F82"/>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5913"/>
  <w15:chartTrackingRefBased/>
  <w15:docId w15:val="{147569C2-C35A-4DB7-9AA3-AD72CE54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D558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D558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D558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D558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D558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D558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D558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D558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D558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D558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D558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D558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D558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D558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D558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D558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D558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D558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D5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D55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D558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D558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D558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D5588"/>
    <w:rPr>
      <w:i/>
      <w:iCs/>
      <w:color w:val="404040" w:themeColor="text1" w:themeTint="BF"/>
    </w:rPr>
  </w:style>
  <w:style w:type="paragraph" w:styleId="Paragrafoelenco">
    <w:name w:val="List Paragraph"/>
    <w:basedOn w:val="Normale"/>
    <w:uiPriority w:val="34"/>
    <w:qFormat/>
    <w:rsid w:val="001D5588"/>
    <w:pPr>
      <w:ind w:left="720"/>
      <w:contextualSpacing/>
    </w:pPr>
  </w:style>
  <w:style w:type="character" w:styleId="Enfasiintensa">
    <w:name w:val="Intense Emphasis"/>
    <w:basedOn w:val="Carpredefinitoparagrafo"/>
    <w:uiPriority w:val="21"/>
    <w:qFormat/>
    <w:rsid w:val="001D5588"/>
    <w:rPr>
      <w:i/>
      <w:iCs/>
      <w:color w:val="365F91" w:themeColor="accent1" w:themeShade="BF"/>
    </w:rPr>
  </w:style>
  <w:style w:type="paragraph" w:styleId="Citazioneintensa">
    <w:name w:val="Intense Quote"/>
    <w:basedOn w:val="Normale"/>
    <w:next w:val="Normale"/>
    <w:link w:val="CitazioneintensaCarattere"/>
    <w:uiPriority w:val="30"/>
    <w:qFormat/>
    <w:rsid w:val="001D558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D5588"/>
    <w:rPr>
      <w:i/>
      <w:iCs/>
      <w:color w:val="365F91" w:themeColor="accent1" w:themeShade="BF"/>
    </w:rPr>
  </w:style>
  <w:style w:type="character" w:styleId="Riferimentointenso">
    <w:name w:val="Intense Reference"/>
    <w:basedOn w:val="Carpredefinitoparagrafo"/>
    <w:uiPriority w:val="32"/>
    <w:qFormat/>
    <w:rsid w:val="001D5588"/>
    <w:rPr>
      <w:b/>
      <w:bCs/>
      <w:smallCaps/>
      <w:color w:val="365F91" w:themeColor="accent1" w:themeShade="BF"/>
      <w:spacing w:val="5"/>
    </w:rPr>
  </w:style>
  <w:style w:type="character" w:styleId="Collegamentoipertestuale">
    <w:name w:val="Hyperlink"/>
    <w:basedOn w:val="Carpredefinitoparagrafo"/>
    <w:uiPriority w:val="99"/>
    <w:unhideWhenUsed/>
    <w:rsid w:val="007126C0"/>
    <w:rPr>
      <w:color w:val="0000FF" w:themeColor="hyperlink"/>
      <w:u w:val="single"/>
    </w:rPr>
  </w:style>
  <w:style w:type="character" w:styleId="Menzionenonrisolta">
    <w:name w:val="Unresolved Mention"/>
    <w:basedOn w:val="Carpredefinitoparagrafo"/>
    <w:uiPriority w:val="99"/>
    <w:semiHidden/>
    <w:unhideWhenUsed/>
    <w:rsid w:val="00712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826442">
      <w:bodyDiv w:val="1"/>
      <w:marLeft w:val="0"/>
      <w:marRight w:val="0"/>
      <w:marTop w:val="0"/>
      <w:marBottom w:val="0"/>
      <w:divBdr>
        <w:top w:val="none" w:sz="0" w:space="0" w:color="auto"/>
        <w:left w:val="none" w:sz="0" w:space="0" w:color="auto"/>
        <w:bottom w:val="none" w:sz="0" w:space="0" w:color="auto"/>
        <w:right w:val="none" w:sz="0" w:space="0" w:color="auto"/>
      </w:divBdr>
      <w:divsChild>
        <w:div w:id="174728967">
          <w:marLeft w:val="0"/>
          <w:marRight w:val="0"/>
          <w:marTop w:val="0"/>
          <w:marBottom w:val="0"/>
          <w:divBdr>
            <w:top w:val="none" w:sz="0" w:space="0" w:color="auto"/>
            <w:left w:val="none" w:sz="0" w:space="0" w:color="auto"/>
            <w:bottom w:val="none" w:sz="0" w:space="0" w:color="auto"/>
            <w:right w:val="none" w:sz="0" w:space="0" w:color="auto"/>
          </w:divBdr>
        </w:div>
      </w:divsChild>
    </w:div>
    <w:div w:id="1923954230">
      <w:bodyDiv w:val="1"/>
      <w:marLeft w:val="0"/>
      <w:marRight w:val="0"/>
      <w:marTop w:val="0"/>
      <w:marBottom w:val="0"/>
      <w:divBdr>
        <w:top w:val="none" w:sz="0" w:space="0" w:color="auto"/>
        <w:left w:val="none" w:sz="0" w:space="0" w:color="auto"/>
        <w:bottom w:val="none" w:sz="0" w:space="0" w:color="auto"/>
        <w:right w:val="none" w:sz="0" w:space="0" w:color="auto"/>
      </w:divBdr>
      <w:divsChild>
        <w:div w:id="163401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seac.it/guide-operative-e-professionali/11280-le-convenzioni-contro-le-doppie-imposizioni-in-pratica-9791254653500.html?gad_source=1&amp;gclid=Cj0KCQjw4cS-BhDGARIsABg4_J0yrDeTicfl9aAaSi8nZmhdotI70G5AtlqYBaRiZVKjtRj_Y83CEMYaAme9EALw_wcB"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1267</Words>
  <Characters>7223</Characters>
  <Application>Microsoft Office Word</Application>
  <DocSecurity>0</DocSecurity>
  <Lines>60</Lines>
  <Paragraphs>16</Paragraphs>
  <ScaleCrop>false</ScaleCrop>
  <Company>HP</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2025-03-13T05:24:00Z</dcterms:created>
  <dcterms:modified xsi:type="dcterms:W3CDTF">2025-03-13T05:34:00Z</dcterms:modified>
</cp:coreProperties>
</file>