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A9B4" w14:textId="6931EFB9" w:rsidR="004C0F21" w:rsidRPr="00AF59BB" w:rsidRDefault="004C0F21" w:rsidP="004C0F21">
      <w:pPr>
        <w:jc w:val="both"/>
        <w:rPr>
          <w:rFonts w:asciiTheme="minorHAnsi" w:hAnsiTheme="minorHAnsi" w:cstheme="minorHAnsi"/>
          <w:bCs/>
          <w:i/>
          <w:iCs/>
          <w:sz w:val="16"/>
          <w:szCs w:val="16"/>
        </w:rPr>
      </w:pPr>
      <w:r w:rsidRPr="00AF59BB">
        <w:rPr>
          <w:rFonts w:asciiTheme="minorHAnsi" w:hAnsiTheme="minorHAnsi" w:cstheme="minorHAnsi"/>
          <w:b/>
          <w:color w:val="C00000"/>
          <w:sz w:val="44"/>
          <w:szCs w:val="44"/>
        </w:rPr>
        <w:t>AN</w:t>
      </w:r>
      <w:r>
        <w:rPr>
          <w:rFonts w:asciiTheme="minorHAnsi" w:hAnsiTheme="minorHAnsi" w:cstheme="minorHAnsi"/>
          <w:b/>
          <w:color w:val="C00000"/>
          <w:sz w:val="44"/>
          <w:szCs w:val="44"/>
        </w:rPr>
        <w:t>49</w:t>
      </w:r>
      <w:r>
        <w:rPr>
          <w:rFonts w:asciiTheme="minorHAnsi" w:hAnsiTheme="minorHAnsi" w:cstheme="minorHAnsi"/>
          <w:b/>
          <w:color w:val="C00000"/>
          <w:sz w:val="44"/>
          <w:szCs w:val="44"/>
        </w:rPr>
        <w:t>32</w:t>
      </w:r>
      <w:r w:rsidRPr="00AF59BB">
        <w:rPr>
          <w:rFonts w:asciiTheme="minorHAnsi" w:hAnsiTheme="minorHAnsi" w:cstheme="minorHAnsi"/>
          <w:b/>
          <w:sz w:val="16"/>
          <w:szCs w:val="16"/>
        </w:rPr>
        <w:tab/>
      </w:r>
      <w:r w:rsidRPr="00AF59BB">
        <w:rPr>
          <w:rFonts w:asciiTheme="minorHAnsi" w:hAnsiTheme="minorHAnsi" w:cstheme="minorHAnsi"/>
          <w:b/>
          <w:sz w:val="16"/>
          <w:szCs w:val="16"/>
        </w:rPr>
        <w:tab/>
      </w:r>
      <w:r w:rsidRPr="00AF59BB">
        <w:rPr>
          <w:rFonts w:asciiTheme="minorHAnsi" w:hAnsiTheme="minorHAnsi" w:cstheme="minorHAnsi"/>
          <w:b/>
          <w:sz w:val="16"/>
          <w:szCs w:val="16"/>
        </w:rPr>
        <w:tab/>
      </w:r>
      <w:r w:rsidRPr="00AF59BB">
        <w:rPr>
          <w:rFonts w:asciiTheme="minorHAnsi" w:hAnsiTheme="minorHAnsi" w:cstheme="minorHAnsi"/>
          <w:b/>
          <w:sz w:val="16"/>
          <w:szCs w:val="16"/>
        </w:rPr>
        <w:tab/>
      </w:r>
      <w:r w:rsidRPr="00AF59BB">
        <w:rPr>
          <w:rFonts w:asciiTheme="minorHAnsi" w:hAnsiTheme="minorHAnsi" w:cstheme="minorHAnsi"/>
          <w:b/>
          <w:sz w:val="16"/>
          <w:szCs w:val="16"/>
        </w:rPr>
        <w:tab/>
      </w:r>
      <w:r w:rsidRPr="00AF59BB">
        <w:rPr>
          <w:rFonts w:asciiTheme="minorHAnsi" w:hAnsiTheme="minorHAnsi" w:cstheme="minorHAnsi"/>
          <w:b/>
          <w:sz w:val="16"/>
          <w:szCs w:val="16"/>
        </w:rPr>
        <w:tab/>
      </w:r>
      <w:r w:rsidRPr="00AF59BB">
        <w:rPr>
          <w:rFonts w:asciiTheme="minorHAnsi" w:hAnsiTheme="minorHAnsi" w:cstheme="minorHAnsi"/>
          <w:b/>
          <w:sz w:val="16"/>
          <w:szCs w:val="16"/>
        </w:rPr>
        <w:tab/>
      </w:r>
      <w:r w:rsidRPr="00AF59BB">
        <w:rPr>
          <w:rFonts w:asciiTheme="minorHAnsi" w:hAnsiTheme="minorHAnsi" w:cstheme="minorHAnsi"/>
          <w:b/>
          <w:sz w:val="16"/>
          <w:szCs w:val="16"/>
        </w:rPr>
        <w:tab/>
      </w:r>
      <w:r w:rsidRPr="00AF59BB">
        <w:rPr>
          <w:rFonts w:asciiTheme="minorHAnsi" w:hAnsiTheme="minorHAnsi" w:cstheme="minorHAnsi"/>
          <w:bCs/>
          <w:i/>
          <w:iCs/>
          <w:sz w:val="16"/>
          <w:szCs w:val="16"/>
        </w:rPr>
        <w:t>scheda creata il 13 febbraio 2023</w:t>
      </w:r>
    </w:p>
    <w:p w14:paraId="334A1397" w14:textId="06D93EA5" w:rsidR="004E2774" w:rsidRDefault="004E2774" w:rsidP="004C0F21">
      <w:pPr>
        <w:jc w:val="both"/>
        <w:rPr>
          <w:rFonts w:asciiTheme="minorHAnsi" w:hAnsiTheme="minorHAnsi" w:cstheme="minorHAnsi"/>
          <w:b/>
          <w:color w:val="C00000"/>
          <w:sz w:val="44"/>
          <w:szCs w:val="44"/>
        </w:rPr>
      </w:pPr>
      <w:r>
        <w:rPr>
          <w:rFonts w:asciiTheme="minorHAnsi" w:hAnsiTheme="minorHAnsi" w:cstheme="minorHAnsi"/>
          <w:b/>
          <w:noProof/>
          <w:color w:val="C00000"/>
          <w:sz w:val="44"/>
          <w:szCs w:val="44"/>
        </w:rPr>
        <w:drawing>
          <wp:inline distT="0" distB="0" distL="0" distR="0" wp14:anchorId="05EFE5AE" wp14:editId="4D69C965">
            <wp:extent cx="2849880" cy="1609725"/>
            <wp:effectExtent l="0" t="0" r="7620" b="9525"/>
            <wp:docPr id="1" name="Immagine 1"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avol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9880" cy="1609725"/>
                    </a:xfrm>
                    <a:prstGeom prst="rect">
                      <a:avLst/>
                    </a:prstGeom>
                    <a:noFill/>
                    <a:ln>
                      <a:noFill/>
                    </a:ln>
                  </pic:spPr>
                </pic:pic>
              </a:graphicData>
            </a:graphic>
          </wp:inline>
        </w:drawing>
      </w:r>
      <w:r w:rsidRPr="004E2774">
        <w:rPr>
          <w:noProof/>
        </w:rPr>
        <w:t xml:space="preserve"> </w:t>
      </w:r>
      <w:r w:rsidRPr="004E2774">
        <w:drawing>
          <wp:inline distT="0" distB="0" distL="0" distR="0" wp14:anchorId="2B9D513D" wp14:editId="4D4262E8">
            <wp:extent cx="2552700" cy="1790700"/>
            <wp:effectExtent l="0" t="0" r="0" b="0"/>
            <wp:docPr id="2" name="Immagine 2" descr="Immagine che contiene testo, bigliettodavisita, screenshot, cielo nottu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bigliettodavisita, screenshot, cielo notturno&#10;&#10;Descrizione generata automaticamente"/>
                    <pic:cNvPicPr/>
                  </pic:nvPicPr>
                  <pic:blipFill>
                    <a:blip r:embed="rId5"/>
                    <a:stretch>
                      <a:fillRect/>
                    </a:stretch>
                  </pic:blipFill>
                  <pic:spPr>
                    <a:xfrm>
                      <a:off x="0" y="0"/>
                      <a:ext cx="2552700" cy="1790700"/>
                    </a:xfrm>
                    <a:prstGeom prst="rect">
                      <a:avLst/>
                    </a:prstGeom>
                  </pic:spPr>
                </pic:pic>
              </a:graphicData>
            </a:graphic>
          </wp:inline>
        </w:drawing>
      </w:r>
    </w:p>
    <w:p w14:paraId="4D361982" w14:textId="32459AA2" w:rsidR="004C0F21" w:rsidRPr="00AF59BB" w:rsidRDefault="004C0F21" w:rsidP="004C0F21">
      <w:pPr>
        <w:jc w:val="both"/>
        <w:rPr>
          <w:rFonts w:asciiTheme="minorHAnsi" w:hAnsiTheme="minorHAnsi" w:cstheme="minorHAnsi"/>
          <w:b/>
          <w:color w:val="C00000"/>
          <w:sz w:val="44"/>
          <w:szCs w:val="44"/>
        </w:rPr>
      </w:pPr>
      <w:r w:rsidRPr="00AF59BB">
        <w:rPr>
          <w:rFonts w:asciiTheme="minorHAnsi" w:hAnsiTheme="minorHAnsi" w:cstheme="minorHAnsi"/>
          <w:b/>
          <w:color w:val="C00000"/>
          <w:sz w:val="44"/>
          <w:szCs w:val="44"/>
        </w:rPr>
        <w:t>Descrizione bibliografica</w:t>
      </w:r>
    </w:p>
    <w:p w14:paraId="5C649777" w14:textId="07514AF3" w:rsidR="004C0F21" w:rsidRPr="004C0F21" w:rsidRDefault="004C0F21" w:rsidP="004C0F21">
      <w:pPr>
        <w:tabs>
          <w:tab w:val="right" w:pos="6660"/>
        </w:tabs>
        <w:jc w:val="both"/>
        <w:rPr>
          <w:sz w:val="22"/>
          <w:szCs w:val="22"/>
        </w:rPr>
      </w:pPr>
      <w:r w:rsidRPr="004C0F21">
        <w:rPr>
          <w:rFonts w:ascii="Calibri" w:hAnsi="Calibri" w:cs="Calibri"/>
          <w:b/>
          <w:sz w:val="22"/>
          <w:szCs w:val="22"/>
        </w:rPr>
        <w:t xml:space="preserve">*Energy efficiency report </w:t>
      </w:r>
      <w:r w:rsidRPr="004C0F21">
        <w:rPr>
          <w:rFonts w:ascii="Calibri" w:hAnsi="Calibri" w:cs="Calibri"/>
          <w:sz w:val="22"/>
          <w:szCs w:val="22"/>
        </w:rPr>
        <w:t>: l'efficienza energetica in Italia: modelli di business, soluzioni tecnologiche, vincoli e opportunità di sviluppo / ES. – Novembre 2011-</w:t>
      </w:r>
      <w:r w:rsidR="007D04CB">
        <w:rPr>
          <w:rFonts w:ascii="Calibri" w:hAnsi="Calibri" w:cs="Calibri"/>
          <w:sz w:val="22"/>
          <w:szCs w:val="22"/>
        </w:rPr>
        <w:t>2018</w:t>
      </w:r>
      <w:r w:rsidRPr="004C0F21">
        <w:rPr>
          <w:rFonts w:ascii="Calibri" w:hAnsi="Calibri" w:cs="Calibri"/>
          <w:sz w:val="22"/>
          <w:szCs w:val="22"/>
        </w:rPr>
        <w:t>. - Milano : Politecnico di Milano, Dipartimento di ingegneria gestionale, 2011-</w:t>
      </w:r>
      <w:r w:rsidR="007D04CB">
        <w:rPr>
          <w:rFonts w:ascii="Calibri" w:hAnsi="Calibri" w:cs="Calibri"/>
          <w:sz w:val="22"/>
          <w:szCs w:val="22"/>
        </w:rPr>
        <w:t>2018</w:t>
      </w:r>
      <w:r w:rsidRPr="004C0F21">
        <w:rPr>
          <w:rFonts w:ascii="Calibri" w:hAnsi="Calibri" w:cs="Calibri"/>
          <w:sz w:val="22"/>
          <w:szCs w:val="22"/>
        </w:rPr>
        <w:t>. – volumi ; 30 cm. ((</w:t>
      </w:r>
      <w:r w:rsidR="007B5C95">
        <w:rPr>
          <w:rFonts w:ascii="Calibri" w:hAnsi="Calibri" w:cs="Calibri"/>
          <w:sz w:val="22"/>
          <w:szCs w:val="22"/>
        </w:rPr>
        <w:t>Annuale</w:t>
      </w:r>
      <w:r w:rsidRPr="004C0F21">
        <w:rPr>
          <w:rFonts w:ascii="Calibri" w:hAnsi="Calibri" w:cs="Calibri"/>
          <w:sz w:val="22"/>
          <w:szCs w:val="22"/>
        </w:rPr>
        <w:t>. - Sul frontespizio; Politecnico di Milano, Dipartimento di ingegneria gestionale, School of management, MIP. – Disponibile anche in Internet. - CFI0786115</w:t>
      </w:r>
    </w:p>
    <w:p w14:paraId="1A139CE1" w14:textId="77777777" w:rsidR="004C0F21" w:rsidRPr="004C0F21" w:rsidRDefault="004C0F21" w:rsidP="004C0F21">
      <w:pPr>
        <w:tabs>
          <w:tab w:val="right" w:pos="6660"/>
        </w:tabs>
        <w:jc w:val="both"/>
        <w:rPr>
          <w:sz w:val="22"/>
          <w:szCs w:val="22"/>
        </w:rPr>
      </w:pPr>
      <w:r w:rsidRPr="004C0F21">
        <w:rPr>
          <w:rFonts w:ascii="Calibri" w:hAnsi="Calibri" w:cs="Calibri"/>
          <w:sz w:val="22"/>
          <w:szCs w:val="22"/>
        </w:rPr>
        <w:t>Fa parte di: *Quaderni AIP / Associazione Impresa Politecnico.</w:t>
      </w:r>
    </w:p>
    <w:p w14:paraId="2AC9F5E2" w14:textId="77777777" w:rsidR="007D04CB" w:rsidRDefault="007D04CB" w:rsidP="004C0F21">
      <w:pPr>
        <w:tabs>
          <w:tab w:val="right" w:pos="6660"/>
        </w:tabs>
        <w:jc w:val="both"/>
        <w:rPr>
          <w:rFonts w:ascii="Calibri" w:hAnsi="Calibri" w:cs="Calibri"/>
          <w:sz w:val="22"/>
          <w:szCs w:val="22"/>
          <w:lang w:val="en-GB"/>
        </w:rPr>
      </w:pPr>
    </w:p>
    <w:p w14:paraId="499A879D" w14:textId="20E2BB85" w:rsidR="007D04CB" w:rsidRDefault="007D04CB" w:rsidP="004C0F21">
      <w:pPr>
        <w:tabs>
          <w:tab w:val="right" w:pos="6660"/>
        </w:tabs>
        <w:jc w:val="both"/>
        <w:rPr>
          <w:rFonts w:ascii="Calibri" w:hAnsi="Calibri" w:cs="Calibri"/>
          <w:sz w:val="22"/>
          <w:szCs w:val="22"/>
        </w:rPr>
      </w:pPr>
      <w:r w:rsidRPr="004C0F21">
        <w:rPr>
          <w:rFonts w:ascii="Calibri" w:hAnsi="Calibri" w:cs="Calibri"/>
          <w:b/>
          <w:sz w:val="22"/>
          <w:szCs w:val="22"/>
        </w:rPr>
        <w:t>*</w:t>
      </w:r>
      <w:r>
        <w:rPr>
          <w:rFonts w:ascii="Calibri" w:hAnsi="Calibri" w:cs="Calibri"/>
          <w:b/>
          <w:sz w:val="22"/>
          <w:szCs w:val="22"/>
        </w:rPr>
        <w:t>Digital e</w:t>
      </w:r>
      <w:r w:rsidRPr="004C0F21">
        <w:rPr>
          <w:rFonts w:ascii="Calibri" w:hAnsi="Calibri" w:cs="Calibri"/>
          <w:b/>
          <w:sz w:val="22"/>
          <w:szCs w:val="22"/>
        </w:rPr>
        <w:t>nergy efficiency report</w:t>
      </w:r>
      <w:r w:rsidRPr="004C0F21">
        <w:rPr>
          <w:rFonts w:ascii="Calibri" w:hAnsi="Calibri" w:cs="Calibri"/>
          <w:sz w:val="22"/>
          <w:szCs w:val="22"/>
        </w:rPr>
        <w:t xml:space="preserve"> / ES. – </w:t>
      </w:r>
      <w:r>
        <w:rPr>
          <w:rFonts w:ascii="Calibri" w:hAnsi="Calibri" w:cs="Calibri"/>
          <w:sz w:val="22"/>
          <w:szCs w:val="22"/>
        </w:rPr>
        <w:t>Luglio 2020</w:t>
      </w:r>
      <w:r w:rsidRPr="004C0F21">
        <w:rPr>
          <w:rFonts w:ascii="Calibri" w:hAnsi="Calibri" w:cs="Calibri"/>
          <w:sz w:val="22"/>
          <w:szCs w:val="22"/>
        </w:rPr>
        <w:t>-    . - Milano : Politecnico di Milano, Dipartimento di ingegneria gestionale, 20</w:t>
      </w:r>
      <w:r>
        <w:rPr>
          <w:rFonts w:ascii="Calibri" w:hAnsi="Calibri" w:cs="Calibri"/>
          <w:sz w:val="22"/>
          <w:szCs w:val="22"/>
        </w:rPr>
        <w:t>20</w:t>
      </w:r>
      <w:r w:rsidRPr="004C0F21">
        <w:rPr>
          <w:rFonts w:ascii="Calibri" w:hAnsi="Calibri" w:cs="Calibri"/>
          <w:sz w:val="22"/>
          <w:szCs w:val="22"/>
        </w:rPr>
        <w:t>-    . – volumi. ((</w:t>
      </w:r>
      <w:r>
        <w:rPr>
          <w:rFonts w:ascii="Calibri" w:hAnsi="Calibri" w:cs="Calibri"/>
          <w:sz w:val="22"/>
          <w:szCs w:val="22"/>
        </w:rPr>
        <w:t>Annuale</w:t>
      </w:r>
      <w:r w:rsidRPr="004C0F21">
        <w:rPr>
          <w:rFonts w:ascii="Calibri" w:hAnsi="Calibri" w:cs="Calibri"/>
          <w:sz w:val="22"/>
          <w:szCs w:val="22"/>
        </w:rPr>
        <w:t xml:space="preserve">. - Sul frontespizio; Politecnico di Milano, Dipartimento di ingegneria gestionale, School of management, MIP. – Disponibile anche in Internet. </w:t>
      </w:r>
    </w:p>
    <w:p w14:paraId="79254534" w14:textId="77777777" w:rsidR="007D04CB" w:rsidRDefault="007D04CB" w:rsidP="004C0F21">
      <w:pPr>
        <w:tabs>
          <w:tab w:val="right" w:pos="6660"/>
        </w:tabs>
        <w:jc w:val="both"/>
        <w:rPr>
          <w:rFonts w:ascii="Calibri" w:hAnsi="Calibri" w:cs="Calibri"/>
          <w:sz w:val="22"/>
          <w:szCs w:val="22"/>
        </w:rPr>
      </w:pPr>
    </w:p>
    <w:p w14:paraId="7D7625BF" w14:textId="48517C95" w:rsidR="004C0F21" w:rsidRPr="004C0F21" w:rsidRDefault="004C0F21" w:rsidP="004C0F21">
      <w:pPr>
        <w:tabs>
          <w:tab w:val="right" w:pos="6660"/>
        </w:tabs>
        <w:jc w:val="both"/>
        <w:rPr>
          <w:sz w:val="22"/>
          <w:szCs w:val="22"/>
          <w:lang w:val="en-GB"/>
        </w:rPr>
      </w:pPr>
      <w:r w:rsidRPr="004C0F21">
        <w:rPr>
          <w:rFonts w:ascii="Calibri" w:hAnsi="Calibri" w:cs="Calibri"/>
          <w:sz w:val="22"/>
          <w:szCs w:val="22"/>
          <w:lang w:val="en-GB"/>
        </w:rPr>
        <w:t>Autore: ES &lt;Energy &amp; strategy group&gt;</w:t>
      </w:r>
    </w:p>
    <w:p w14:paraId="38931190" w14:textId="77777777" w:rsidR="004C0F21" w:rsidRPr="004C0F21" w:rsidRDefault="004C0F21" w:rsidP="004C0F21">
      <w:pPr>
        <w:tabs>
          <w:tab w:val="right" w:pos="6660"/>
        </w:tabs>
        <w:jc w:val="both"/>
        <w:rPr>
          <w:sz w:val="22"/>
          <w:szCs w:val="22"/>
        </w:rPr>
      </w:pPr>
      <w:r w:rsidRPr="004C0F21">
        <w:rPr>
          <w:rFonts w:ascii="Calibri" w:hAnsi="Calibri" w:cs="Calibri"/>
          <w:sz w:val="22"/>
          <w:szCs w:val="22"/>
        </w:rPr>
        <w:t>Soggetto: Energia - Consumo - Italia – Periodici; Edifici - Risparmio energetico - Italia - Indagini statistiche - Periodici</w:t>
      </w:r>
    </w:p>
    <w:p w14:paraId="7D15A0D8" w14:textId="77777777" w:rsidR="004C0F21" w:rsidRPr="004C0F21" w:rsidRDefault="004C0F21" w:rsidP="004C0F21">
      <w:pPr>
        <w:jc w:val="both"/>
        <w:rPr>
          <w:sz w:val="22"/>
          <w:szCs w:val="22"/>
        </w:rPr>
      </w:pPr>
      <w:r w:rsidRPr="004C0F21">
        <w:rPr>
          <w:rFonts w:ascii="Calibri" w:hAnsi="Calibri" w:cs="Calibri"/>
          <w:sz w:val="22"/>
          <w:szCs w:val="22"/>
        </w:rPr>
        <w:t>Classe: D333.79130945</w:t>
      </w:r>
    </w:p>
    <w:p w14:paraId="35FFA244" w14:textId="524D4EFE" w:rsidR="00FD4F6D" w:rsidRDefault="00FD4F6D"/>
    <w:p w14:paraId="71ADC683" w14:textId="115EBE3A" w:rsidR="004C0F21" w:rsidRPr="004C0F21" w:rsidRDefault="004C0F21" w:rsidP="004C0F21">
      <w:pPr>
        <w:jc w:val="both"/>
        <w:rPr>
          <w:rFonts w:asciiTheme="minorHAnsi" w:hAnsiTheme="minorHAnsi" w:cstheme="minorHAnsi"/>
          <w:color w:val="C00000"/>
          <w:sz w:val="44"/>
          <w:szCs w:val="44"/>
        </w:rPr>
      </w:pPr>
      <w:r w:rsidRPr="00AF59BB">
        <w:rPr>
          <w:rFonts w:asciiTheme="minorHAnsi" w:hAnsiTheme="minorHAnsi" w:cstheme="minorHAnsi"/>
          <w:b/>
          <w:bCs/>
          <w:color w:val="C00000"/>
          <w:sz w:val="44"/>
          <w:szCs w:val="44"/>
        </w:rPr>
        <w:t>Volumi disponibili in rete</w:t>
      </w:r>
      <w:r>
        <w:rPr>
          <w:rFonts w:asciiTheme="minorHAnsi" w:hAnsiTheme="minorHAnsi" w:cstheme="minorHAnsi"/>
          <w:b/>
          <w:bCs/>
          <w:color w:val="C00000"/>
          <w:sz w:val="44"/>
          <w:szCs w:val="44"/>
        </w:rPr>
        <w:t xml:space="preserve"> </w:t>
      </w:r>
      <w:hyperlink r:id="rId6" w:history="1">
        <w:r w:rsidRPr="007B5C95">
          <w:rPr>
            <w:rStyle w:val="Collegamentoipertestuale"/>
            <w:rFonts w:asciiTheme="minorHAnsi" w:hAnsiTheme="minorHAnsi" w:cstheme="minorHAnsi"/>
            <w:sz w:val="44"/>
            <w:szCs w:val="44"/>
          </w:rPr>
          <w:t>2011-</w:t>
        </w:r>
      </w:hyperlink>
    </w:p>
    <w:p w14:paraId="32A5769E" w14:textId="77777777" w:rsidR="004C0F21" w:rsidRPr="00B80D03" w:rsidRDefault="004C0F21" w:rsidP="004C0F21">
      <w:pPr>
        <w:jc w:val="both"/>
        <w:rPr>
          <w:rFonts w:asciiTheme="minorHAnsi" w:hAnsiTheme="minorHAnsi" w:cstheme="minorHAnsi"/>
          <w:b/>
          <w:bCs/>
          <w:color w:val="C00000"/>
          <w:sz w:val="22"/>
          <w:szCs w:val="22"/>
        </w:rPr>
      </w:pPr>
    </w:p>
    <w:p w14:paraId="10C45BF3" w14:textId="77777777" w:rsidR="004C0F21" w:rsidRPr="00AF59BB" w:rsidRDefault="004C0F21" w:rsidP="004C0F21">
      <w:pPr>
        <w:jc w:val="both"/>
        <w:rPr>
          <w:rFonts w:asciiTheme="minorHAnsi" w:hAnsiTheme="minorHAnsi" w:cstheme="minorHAnsi"/>
          <w:b/>
          <w:bCs/>
          <w:color w:val="C00000"/>
          <w:sz w:val="44"/>
          <w:szCs w:val="44"/>
        </w:rPr>
      </w:pPr>
      <w:r w:rsidRPr="00AF59BB">
        <w:rPr>
          <w:rFonts w:asciiTheme="minorHAnsi" w:hAnsiTheme="minorHAnsi" w:cstheme="minorHAnsi"/>
          <w:b/>
          <w:bCs/>
          <w:color w:val="C00000"/>
          <w:sz w:val="44"/>
          <w:szCs w:val="44"/>
        </w:rPr>
        <w:t>Informazioni storico-bibliografiche</w:t>
      </w:r>
    </w:p>
    <w:p w14:paraId="03D21C14" w14:textId="77777777" w:rsidR="004C0F21" w:rsidRPr="007D04CB" w:rsidRDefault="004C0F21" w:rsidP="007D04CB">
      <w:pPr>
        <w:pStyle w:val="NormaleWeb"/>
        <w:spacing w:before="0" w:beforeAutospacing="0" w:after="0" w:afterAutospacing="0"/>
        <w:jc w:val="both"/>
        <w:rPr>
          <w:rStyle w:val="Enfasigrassetto"/>
          <w:rFonts w:asciiTheme="minorHAnsi" w:hAnsiTheme="minorHAnsi" w:cstheme="minorHAnsi"/>
          <w:b w:val="0"/>
          <w:bCs w:val="0"/>
          <w:sz w:val="22"/>
          <w:szCs w:val="22"/>
        </w:rPr>
      </w:pPr>
      <w:r w:rsidRPr="007D04CB">
        <w:rPr>
          <w:rStyle w:val="Enfasigrassetto"/>
          <w:rFonts w:asciiTheme="minorHAnsi" w:hAnsiTheme="minorHAnsi" w:cstheme="minorHAnsi"/>
          <w:sz w:val="22"/>
          <w:szCs w:val="22"/>
        </w:rPr>
        <w:t>Digital Energy Efficiency</w:t>
      </w:r>
    </w:p>
    <w:p w14:paraId="48937DAF" w14:textId="77777777" w:rsidR="004C0F21" w:rsidRPr="007D04CB" w:rsidRDefault="004C0F21" w:rsidP="007D04CB">
      <w:pPr>
        <w:pStyle w:val="NormaleWeb"/>
        <w:spacing w:before="0" w:beforeAutospacing="0" w:after="0" w:afterAutospacing="0"/>
        <w:jc w:val="both"/>
        <w:rPr>
          <w:rStyle w:val="Enfasigrassetto"/>
          <w:rFonts w:asciiTheme="minorHAnsi" w:hAnsiTheme="minorHAnsi" w:cstheme="minorHAnsi"/>
          <w:b w:val="0"/>
          <w:bCs w:val="0"/>
          <w:sz w:val="22"/>
          <w:szCs w:val="22"/>
        </w:rPr>
      </w:pPr>
      <w:r w:rsidRPr="007D04CB">
        <w:rPr>
          <w:rStyle w:val="Enfasigrassetto"/>
          <w:rFonts w:asciiTheme="minorHAnsi" w:hAnsiTheme="minorHAnsi" w:cstheme="minorHAnsi"/>
          <w:b w:val="0"/>
          <w:bCs w:val="0"/>
          <w:sz w:val="22"/>
          <w:szCs w:val="22"/>
        </w:rPr>
        <w:t>L’Osservatorio “Energy Efficiency” si pone come riferimento per il settore dell’efficienza energetica in Italia, fornendo un quadro esaustivo sull’andamento del mercato a partire dal 2011.</w:t>
      </w:r>
    </w:p>
    <w:p w14:paraId="6859131E" w14:textId="77777777" w:rsidR="004C0F21" w:rsidRPr="007D04CB" w:rsidRDefault="004C0F21" w:rsidP="007D04CB">
      <w:pPr>
        <w:pStyle w:val="NormaleWeb"/>
        <w:spacing w:before="0" w:beforeAutospacing="0" w:after="0" w:afterAutospacing="0"/>
        <w:jc w:val="both"/>
        <w:rPr>
          <w:rStyle w:val="Enfasigrassetto"/>
          <w:rFonts w:asciiTheme="minorHAnsi" w:hAnsiTheme="minorHAnsi" w:cstheme="minorHAnsi"/>
          <w:b w:val="0"/>
          <w:bCs w:val="0"/>
          <w:sz w:val="22"/>
          <w:szCs w:val="22"/>
        </w:rPr>
      </w:pPr>
      <w:r w:rsidRPr="007D04CB">
        <w:rPr>
          <w:rStyle w:val="Enfasigrassetto"/>
          <w:rFonts w:asciiTheme="minorHAnsi" w:hAnsiTheme="minorHAnsi" w:cstheme="minorHAnsi"/>
          <w:b w:val="0"/>
          <w:bCs w:val="0"/>
          <w:sz w:val="22"/>
          <w:szCs w:val="22"/>
        </w:rPr>
        <w:t>Nelle varie edizioni viene valutato il valore degli investimenti annuali, suddiviso per tipologia di intervento, tecnologia e ambito di applicazione, differenziando le analisi tra settore residenziale, terziario, industria e Pubblica Amministrazione.</w:t>
      </w:r>
    </w:p>
    <w:p w14:paraId="62491E26" w14:textId="77777777" w:rsidR="004C0F21" w:rsidRPr="007D04CB" w:rsidRDefault="004C0F21" w:rsidP="007D04CB">
      <w:pPr>
        <w:pStyle w:val="NormaleWeb"/>
        <w:spacing w:before="0" w:beforeAutospacing="0" w:after="0" w:afterAutospacing="0"/>
        <w:jc w:val="both"/>
        <w:rPr>
          <w:rStyle w:val="Enfasigrassetto"/>
          <w:rFonts w:asciiTheme="minorHAnsi" w:hAnsiTheme="minorHAnsi" w:cstheme="minorHAnsi"/>
          <w:b w:val="0"/>
          <w:bCs w:val="0"/>
          <w:sz w:val="22"/>
          <w:szCs w:val="22"/>
        </w:rPr>
      </w:pPr>
      <w:r w:rsidRPr="007D04CB">
        <w:rPr>
          <w:rStyle w:val="Enfasigrassetto"/>
          <w:rFonts w:asciiTheme="minorHAnsi" w:hAnsiTheme="minorHAnsi" w:cstheme="minorHAnsi"/>
          <w:b w:val="0"/>
          <w:bCs w:val="0"/>
          <w:sz w:val="22"/>
          <w:szCs w:val="22"/>
        </w:rPr>
        <w:t>A queste analisi si aggiungono gli aggiornamenti di carattere normativo riferiti ai meccanismi di incentivazione, obblighi e certificazioni.</w:t>
      </w:r>
    </w:p>
    <w:p w14:paraId="3C2660B0" w14:textId="77777777" w:rsidR="004C0F21" w:rsidRPr="007D04CB" w:rsidRDefault="004C0F21" w:rsidP="007D04CB">
      <w:pPr>
        <w:pStyle w:val="NormaleWeb"/>
        <w:spacing w:before="0" w:beforeAutospacing="0" w:after="0" w:afterAutospacing="0"/>
        <w:jc w:val="both"/>
        <w:rPr>
          <w:rFonts w:asciiTheme="minorHAnsi" w:hAnsiTheme="minorHAnsi" w:cstheme="minorHAnsi"/>
          <w:sz w:val="22"/>
          <w:szCs w:val="22"/>
        </w:rPr>
      </w:pPr>
      <w:r w:rsidRPr="007D04CB">
        <w:rPr>
          <w:rStyle w:val="Enfasigrassetto"/>
          <w:rFonts w:asciiTheme="minorHAnsi" w:hAnsiTheme="minorHAnsi" w:cstheme="minorHAnsi"/>
          <w:b w:val="0"/>
          <w:bCs w:val="0"/>
          <w:sz w:val="22"/>
          <w:szCs w:val="22"/>
        </w:rPr>
        <w:t>Oltre alla fotografia della situazione attuale, ogni anno viene inserito il focus su un ambito specifico che rispecchia i trend emergenti nel settore dell’efficienza energetica. Infine, l’Osservatorio propone una stima del mercato potenziale, guidato dagli obiettivi imposti dalle politiche comunitarie e nazionali. Previsioni e potenziale, guidato dagli obiettivi vincolanti imposti a livello europeo e nazionale.</w:t>
      </w:r>
      <w:r w:rsidRPr="007D04CB">
        <w:rPr>
          <w:rFonts w:asciiTheme="minorHAnsi" w:hAnsiTheme="minorHAnsi" w:cstheme="minorHAnsi"/>
          <w:sz w:val="22"/>
          <w:szCs w:val="22"/>
        </w:rPr>
        <w:t xml:space="preserve"> </w:t>
      </w:r>
    </w:p>
    <w:p w14:paraId="27581E33" w14:textId="77777777" w:rsidR="004C0F21" w:rsidRPr="007D04CB" w:rsidRDefault="004C0F21" w:rsidP="007D04CB">
      <w:pPr>
        <w:pStyle w:val="NormaleWeb"/>
        <w:spacing w:before="0" w:beforeAutospacing="0" w:after="0" w:afterAutospacing="0"/>
        <w:jc w:val="both"/>
        <w:rPr>
          <w:rStyle w:val="Enfasigrassetto"/>
          <w:rFonts w:asciiTheme="minorHAnsi" w:hAnsiTheme="minorHAnsi" w:cstheme="minorHAnsi"/>
          <w:b w:val="0"/>
          <w:bCs w:val="0"/>
          <w:sz w:val="22"/>
          <w:szCs w:val="22"/>
        </w:rPr>
      </w:pPr>
      <w:r w:rsidRPr="007D04CB">
        <w:rPr>
          <w:rFonts w:asciiTheme="minorHAnsi" w:hAnsiTheme="minorHAnsi" w:cstheme="minorHAnsi"/>
          <w:sz w:val="22"/>
          <w:szCs w:val="22"/>
        </w:rPr>
        <w:t>Nel corso dell’anno 2011 l’Energy &amp; Strategy Group ha lanciato la nuova ricerca “Energy Efficiency Report” con l’obiettivo di fare chiarezza sul concetto di efficienza energetica degli edifici, siano essi residenziali o commerciali, e di comprendere le dinamiche imprenditoriali e di mercato ma anche tecnologiche e normative che ad esso sono legati.</w:t>
      </w:r>
      <w:r w:rsidRPr="007D04CB">
        <w:rPr>
          <w:rStyle w:val="Enfasigrassetto"/>
          <w:rFonts w:asciiTheme="minorHAnsi" w:hAnsiTheme="minorHAnsi" w:cstheme="minorHAnsi"/>
          <w:b w:val="0"/>
          <w:bCs w:val="0"/>
          <w:sz w:val="22"/>
          <w:szCs w:val="22"/>
        </w:rPr>
        <w:t xml:space="preserve"> </w:t>
      </w:r>
    </w:p>
    <w:p w14:paraId="7A8B5155" w14:textId="77777777" w:rsidR="004C0F21" w:rsidRPr="007D04CB" w:rsidRDefault="004C0F21" w:rsidP="007D04CB">
      <w:pPr>
        <w:pStyle w:val="NormaleWeb"/>
        <w:spacing w:before="0" w:beforeAutospacing="0" w:after="0" w:afterAutospacing="0"/>
        <w:jc w:val="both"/>
        <w:rPr>
          <w:rStyle w:val="Enfasigrassetto"/>
          <w:rFonts w:asciiTheme="minorHAnsi" w:hAnsiTheme="minorHAnsi" w:cstheme="minorHAnsi"/>
          <w:b w:val="0"/>
          <w:bCs w:val="0"/>
          <w:sz w:val="22"/>
          <w:szCs w:val="22"/>
        </w:rPr>
      </w:pPr>
      <w:hyperlink r:id="rId7" w:history="1">
        <w:r w:rsidRPr="007D04CB">
          <w:rPr>
            <w:rStyle w:val="Collegamentoipertestuale"/>
            <w:rFonts w:asciiTheme="minorHAnsi" w:hAnsiTheme="minorHAnsi" w:cstheme="minorHAnsi"/>
            <w:sz w:val="22"/>
            <w:szCs w:val="22"/>
          </w:rPr>
          <w:t>https://www.energystrategy.it/osservatorio-di-ricerca/digital-energy-efficiency/</w:t>
        </w:r>
      </w:hyperlink>
    </w:p>
    <w:p w14:paraId="4DBC1CAB" w14:textId="77777777" w:rsidR="004C0F21" w:rsidRPr="007D04CB" w:rsidRDefault="004C0F21" w:rsidP="007D04CB">
      <w:pPr>
        <w:pStyle w:val="NormaleWeb"/>
        <w:spacing w:before="0" w:beforeAutospacing="0" w:after="0" w:afterAutospacing="0"/>
        <w:jc w:val="both"/>
        <w:rPr>
          <w:rStyle w:val="Enfasigrassetto"/>
          <w:rFonts w:asciiTheme="minorHAnsi" w:hAnsiTheme="minorHAnsi" w:cstheme="minorHAnsi"/>
          <w:b w:val="0"/>
          <w:bCs w:val="0"/>
          <w:sz w:val="22"/>
          <w:szCs w:val="22"/>
        </w:rPr>
      </w:pPr>
    </w:p>
    <w:p w14:paraId="301037E2" w14:textId="77777777" w:rsidR="004E2774" w:rsidRPr="007D04CB" w:rsidRDefault="007B5C95" w:rsidP="007D04CB">
      <w:pPr>
        <w:pStyle w:val="PreformattatoHTML"/>
        <w:jc w:val="both"/>
        <w:rPr>
          <w:rStyle w:val="y2iqfc"/>
          <w:rFonts w:asciiTheme="minorHAnsi" w:hAnsiTheme="minorHAnsi" w:cstheme="minorHAnsi"/>
          <w:sz w:val="22"/>
          <w:szCs w:val="22"/>
        </w:rPr>
      </w:pPr>
      <w:r w:rsidRPr="007B5C95">
        <w:rPr>
          <w:rFonts w:asciiTheme="minorHAnsi" w:hAnsiTheme="minorHAnsi" w:cstheme="minorHAnsi"/>
          <w:sz w:val="22"/>
          <w:szCs w:val="22"/>
        </w:rPr>
        <w:t>Energy Efficiency Report (EER) è un report periodico che analizza i temi caldi dell'efficienza energetica in Italia e offre un punto di riferimento per il dimensionamento del mercato. Vale la pena ricordare, infatti, che non esistono fonti ufficiali di dati sugli investimenti in efficienza energetica in Italia. Come tutte le altre attività di ricerca di Energy &amp; Strategy, l'EER si basa sul contributo di più partner, attori chiave del settore, che finanziano, discutono e svelano i risultati della nostra attività di ricerca sul campo.</w:t>
      </w:r>
      <w:r w:rsidRPr="007D04CB">
        <w:rPr>
          <w:rFonts w:asciiTheme="minorHAnsi" w:hAnsiTheme="minorHAnsi" w:cstheme="minorHAnsi"/>
          <w:sz w:val="22"/>
          <w:szCs w:val="22"/>
        </w:rPr>
        <w:t xml:space="preserve"> </w:t>
      </w:r>
      <w:r w:rsidR="004E2774" w:rsidRPr="007D04CB">
        <w:rPr>
          <w:rStyle w:val="y2iqfc"/>
          <w:rFonts w:asciiTheme="minorHAnsi" w:hAnsiTheme="minorHAnsi" w:cstheme="minorHAnsi"/>
          <w:sz w:val="22"/>
          <w:szCs w:val="22"/>
        </w:rPr>
        <w:t>Principali investigatori: Vittorio Chiesa, Davide Chiaroni, Federico Frattini</w:t>
      </w:r>
    </w:p>
    <w:p w14:paraId="25599F60" w14:textId="77777777" w:rsidR="004E2774" w:rsidRPr="007D04CB" w:rsidRDefault="004E2774" w:rsidP="007D04CB">
      <w:pPr>
        <w:pStyle w:val="PreformattatoHTML"/>
        <w:jc w:val="both"/>
        <w:rPr>
          <w:rStyle w:val="y2iqfc"/>
          <w:rFonts w:asciiTheme="minorHAnsi" w:hAnsiTheme="minorHAnsi" w:cstheme="minorHAnsi"/>
          <w:sz w:val="22"/>
          <w:szCs w:val="22"/>
        </w:rPr>
      </w:pPr>
      <w:r w:rsidRPr="007D04CB">
        <w:rPr>
          <w:rStyle w:val="y2iqfc"/>
          <w:rFonts w:asciiTheme="minorHAnsi" w:hAnsiTheme="minorHAnsi" w:cstheme="minorHAnsi"/>
          <w:sz w:val="22"/>
          <w:szCs w:val="22"/>
        </w:rPr>
        <w:t>Gruppo di ricerca: Vittorio Chiesa, Davide Chiaroni, Federico Frattini, Marco Guiducci, Giulia Besozzi, Martino Bonalumi, Andrea Di Lieto</w:t>
      </w:r>
    </w:p>
    <w:p w14:paraId="1BDE765D" w14:textId="77777777" w:rsidR="004E2774" w:rsidRPr="007D04CB" w:rsidRDefault="004E2774" w:rsidP="007D04CB">
      <w:pPr>
        <w:pStyle w:val="PreformattatoHTML"/>
        <w:jc w:val="both"/>
        <w:rPr>
          <w:rStyle w:val="y2iqfc"/>
          <w:rFonts w:asciiTheme="minorHAnsi" w:hAnsiTheme="minorHAnsi" w:cstheme="minorHAnsi"/>
          <w:sz w:val="22"/>
          <w:szCs w:val="22"/>
        </w:rPr>
      </w:pPr>
      <w:r w:rsidRPr="007D04CB">
        <w:rPr>
          <w:rStyle w:val="y2iqfc"/>
          <w:rFonts w:asciiTheme="minorHAnsi" w:hAnsiTheme="minorHAnsi" w:cstheme="minorHAnsi"/>
          <w:sz w:val="22"/>
          <w:szCs w:val="22"/>
        </w:rPr>
        <w:t>Durata: Annuale – iniziato nel 2011</w:t>
      </w:r>
    </w:p>
    <w:p w14:paraId="143F90AA" w14:textId="77777777" w:rsidR="004E2774" w:rsidRPr="007D04CB" w:rsidRDefault="004E2774" w:rsidP="007D04CB">
      <w:pPr>
        <w:pStyle w:val="PreformattatoHTML"/>
        <w:jc w:val="both"/>
        <w:rPr>
          <w:rFonts w:asciiTheme="minorHAnsi" w:hAnsiTheme="minorHAnsi" w:cstheme="minorHAnsi"/>
          <w:sz w:val="22"/>
          <w:szCs w:val="22"/>
        </w:rPr>
      </w:pPr>
      <w:r w:rsidRPr="007D04CB">
        <w:rPr>
          <w:rStyle w:val="y2iqfc"/>
          <w:rFonts w:asciiTheme="minorHAnsi" w:hAnsiTheme="minorHAnsi" w:cstheme="minorHAnsi"/>
          <w:sz w:val="22"/>
          <w:szCs w:val="22"/>
        </w:rPr>
        <w:t>Partner: multipli</w:t>
      </w:r>
    </w:p>
    <w:p w14:paraId="0284AEB5" w14:textId="659D8F5D" w:rsidR="007B5C95" w:rsidRPr="007D04CB" w:rsidRDefault="007B5C95" w:rsidP="007D0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Theme="minorHAnsi" w:eastAsia="Times New Roman" w:hAnsiTheme="minorHAnsi" w:cstheme="minorHAnsi"/>
          <w:sz w:val="22"/>
          <w:szCs w:val="22"/>
          <w:lang w:eastAsia="it-IT"/>
        </w:rPr>
      </w:pPr>
      <w:hyperlink r:id="rId8" w:history="1">
        <w:r w:rsidRPr="007D04CB">
          <w:rPr>
            <w:rStyle w:val="Collegamentoipertestuale"/>
            <w:rFonts w:asciiTheme="minorHAnsi" w:eastAsia="Times New Roman" w:hAnsiTheme="minorHAnsi" w:cstheme="minorHAnsi"/>
            <w:sz w:val="22"/>
            <w:szCs w:val="22"/>
            <w:lang w:eastAsia="it-IT"/>
          </w:rPr>
          <w:t>https://www.som.polimi.it/en/research/research-lines/energy-efficiency-observatory/</w:t>
        </w:r>
      </w:hyperlink>
    </w:p>
    <w:p w14:paraId="7C88C969" w14:textId="77777777" w:rsidR="007B5C95" w:rsidRPr="007D04CB" w:rsidRDefault="007B5C95" w:rsidP="007D04CB">
      <w:pPr>
        <w:pStyle w:val="NormaleWeb"/>
        <w:spacing w:before="0" w:beforeAutospacing="0" w:after="0" w:afterAutospacing="0"/>
        <w:jc w:val="both"/>
        <w:rPr>
          <w:rStyle w:val="Enfasigrassetto"/>
          <w:rFonts w:asciiTheme="minorHAnsi" w:hAnsiTheme="minorHAnsi" w:cstheme="minorHAnsi"/>
          <w:sz w:val="22"/>
          <w:szCs w:val="22"/>
        </w:rPr>
      </w:pPr>
    </w:p>
    <w:p w14:paraId="44A4B073" w14:textId="26A3B98E" w:rsidR="004C0F21" w:rsidRPr="007D04CB" w:rsidRDefault="004C0F21" w:rsidP="007D04CB">
      <w:pPr>
        <w:pStyle w:val="NormaleWeb"/>
        <w:spacing w:before="0" w:beforeAutospacing="0" w:after="0" w:afterAutospacing="0"/>
        <w:jc w:val="both"/>
        <w:rPr>
          <w:rFonts w:asciiTheme="minorHAnsi" w:hAnsiTheme="minorHAnsi" w:cstheme="minorHAnsi"/>
          <w:sz w:val="22"/>
          <w:szCs w:val="22"/>
        </w:rPr>
      </w:pPr>
      <w:r w:rsidRPr="007D04CB">
        <w:rPr>
          <w:rStyle w:val="Enfasigrassetto"/>
          <w:rFonts w:asciiTheme="minorHAnsi" w:hAnsiTheme="minorHAnsi" w:cstheme="minorHAnsi"/>
          <w:sz w:val="22"/>
          <w:szCs w:val="22"/>
        </w:rPr>
        <w:t>Digital Energy Efficiency Report 2022</w:t>
      </w:r>
    </w:p>
    <w:p w14:paraId="7D120DEE" w14:textId="77777777" w:rsidR="004C0F21" w:rsidRPr="007D04CB" w:rsidRDefault="004C0F21" w:rsidP="007D04CB">
      <w:pPr>
        <w:pStyle w:val="NormaleWeb"/>
        <w:spacing w:before="0" w:beforeAutospacing="0" w:after="0" w:afterAutospacing="0"/>
        <w:jc w:val="both"/>
        <w:rPr>
          <w:rFonts w:asciiTheme="minorHAnsi" w:hAnsiTheme="minorHAnsi" w:cstheme="minorHAnsi"/>
          <w:sz w:val="22"/>
          <w:szCs w:val="22"/>
        </w:rPr>
      </w:pPr>
      <w:r w:rsidRPr="007D04CB">
        <w:rPr>
          <w:rStyle w:val="Enfasigrassetto"/>
          <w:rFonts w:asciiTheme="minorHAnsi" w:hAnsiTheme="minorHAnsi" w:cstheme="minorHAnsi"/>
          <w:sz w:val="22"/>
          <w:szCs w:val="22"/>
        </w:rPr>
        <w:t>Il ruolo strategico dell’efficienza energetica e della gestione dei dati per contrastare le tensioni sul mercato dell’energia</w:t>
      </w:r>
    </w:p>
    <w:p w14:paraId="38AD61B7" w14:textId="77777777" w:rsidR="004C0F21" w:rsidRPr="007D04CB" w:rsidRDefault="004C0F21" w:rsidP="007D04CB">
      <w:pPr>
        <w:pStyle w:val="NormaleWeb"/>
        <w:spacing w:before="0" w:beforeAutospacing="0" w:after="0" w:afterAutospacing="0"/>
        <w:jc w:val="both"/>
        <w:rPr>
          <w:rFonts w:asciiTheme="minorHAnsi" w:hAnsiTheme="minorHAnsi" w:cstheme="minorHAnsi"/>
          <w:sz w:val="22"/>
          <w:szCs w:val="22"/>
        </w:rPr>
      </w:pPr>
      <w:r w:rsidRPr="007D04CB">
        <w:rPr>
          <w:rFonts w:asciiTheme="minorHAnsi" w:hAnsiTheme="minorHAnsi" w:cstheme="minorHAnsi"/>
          <w:sz w:val="22"/>
          <w:szCs w:val="22"/>
        </w:rPr>
        <w:t>La dodicesima edizione del Digital Energy Efficiency Report intende analizzare il mercato dell’efficienza energetica industriale in Italia, con particolare focus sulle conseguenze della volatilità dei prezzi delle commodities energetiche, sulla valorizzazione dei dati e sullo stato attuale del quadro normativo regolatorio, nel quale rientrano le misure incluse nel PNRR, la situazione relativa al mercato dei Certificati Bianchi e le opportunità derivanti dalle Comunità Energetiche.</w:t>
      </w:r>
    </w:p>
    <w:p w14:paraId="6E8A85DD" w14:textId="77777777" w:rsidR="004C0F21" w:rsidRPr="007D04CB" w:rsidRDefault="004C0F21" w:rsidP="007D04CB">
      <w:pPr>
        <w:pStyle w:val="NormaleWeb"/>
        <w:spacing w:before="0" w:beforeAutospacing="0" w:after="0" w:afterAutospacing="0"/>
        <w:jc w:val="both"/>
        <w:rPr>
          <w:rFonts w:asciiTheme="minorHAnsi" w:hAnsiTheme="minorHAnsi" w:cstheme="minorHAnsi"/>
          <w:sz w:val="22"/>
          <w:szCs w:val="22"/>
        </w:rPr>
      </w:pPr>
      <w:r w:rsidRPr="007D04CB">
        <w:rPr>
          <w:rFonts w:asciiTheme="minorHAnsi" w:hAnsiTheme="minorHAnsi" w:cstheme="minorHAnsi"/>
          <w:sz w:val="22"/>
          <w:szCs w:val="22"/>
        </w:rPr>
        <w:t>Si affronteranno le seguenti tematiche:</w:t>
      </w:r>
    </w:p>
    <w:p w14:paraId="533E6E10" w14:textId="77777777" w:rsidR="004C0F21" w:rsidRPr="007D04CB" w:rsidRDefault="004C0F21" w:rsidP="007D04CB">
      <w:pPr>
        <w:pStyle w:val="NormaleWeb"/>
        <w:spacing w:before="0" w:beforeAutospacing="0" w:after="0" w:afterAutospacing="0"/>
        <w:rPr>
          <w:rFonts w:asciiTheme="minorHAnsi" w:hAnsiTheme="minorHAnsi" w:cstheme="minorHAnsi"/>
          <w:sz w:val="22"/>
          <w:szCs w:val="22"/>
        </w:rPr>
      </w:pPr>
      <w:r w:rsidRPr="007D04CB">
        <w:rPr>
          <w:rFonts w:asciiTheme="minorHAnsi" w:hAnsiTheme="minorHAnsi" w:cstheme="minorHAnsi"/>
          <w:sz w:val="22"/>
          <w:szCs w:val="22"/>
        </w:rPr>
        <w:t>• Analisi degli investimenti in efficienza energetica nel comparto industriale italiano, sia per il comparto delle soluzioni hardware sia per quello delle soluzioni digitali</w:t>
      </w:r>
      <w:r w:rsidRPr="007D04CB">
        <w:rPr>
          <w:rFonts w:asciiTheme="minorHAnsi" w:hAnsiTheme="minorHAnsi" w:cstheme="minorHAnsi"/>
          <w:sz w:val="22"/>
          <w:szCs w:val="22"/>
        </w:rPr>
        <w:br/>
        <w:t>• Data valorization e data monetization: fotografia dell’attuale diffusione di questi due paradigmi, sia dal punto di vista delle imprese che delle ESCo</w:t>
      </w:r>
      <w:r w:rsidRPr="007D04CB">
        <w:rPr>
          <w:rFonts w:asciiTheme="minorHAnsi" w:hAnsiTheme="minorHAnsi" w:cstheme="minorHAnsi"/>
          <w:sz w:val="22"/>
          <w:szCs w:val="22"/>
        </w:rPr>
        <w:br/>
        <w:t>• Valutazione della convenienza tecnico-economica degli investimenti in efficienza energetica alla luce delle previsioni sui prezzi di elettricità e gas per i prossimi anni;</w:t>
      </w:r>
      <w:r w:rsidRPr="007D04CB">
        <w:rPr>
          <w:rFonts w:asciiTheme="minorHAnsi" w:hAnsiTheme="minorHAnsi" w:cstheme="minorHAnsi"/>
          <w:sz w:val="22"/>
          <w:szCs w:val="22"/>
        </w:rPr>
        <w:br/>
        <w:t>• Presentazione dei risultati della survey rivolta alle imprese</w:t>
      </w:r>
      <w:r w:rsidRPr="007D04CB">
        <w:rPr>
          <w:rFonts w:asciiTheme="minorHAnsi" w:hAnsiTheme="minorHAnsi" w:cstheme="minorHAnsi"/>
          <w:sz w:val="22"/>
          <w:szCs w:val="22"/>
        </w:rPr>
        <w:br/>
        <w:t>• Presentazione dei risultati della survey rivolta ai fornitori di servizi di efficienza energetica (ESCo)</w:t>
      </w:r>
      <w:r w:rsidRPr="007D04CB">
        <w:rPr>
          <w:rFonts w:asciiTheme="minorHAnsi" w:hAnsiTheme="minorHAnsi" w:cstheme="minorHAnsi"/>
          <w:sz w:val="22"/>
          <w:szCs w:val="22"/>
        </w:rPr>
        <w:br/>
        <w:t>• Evoluzione del quadro normativo relativo all’efficienza energetica, con focus su PNRR (Transizione 4.0), gli impatti del nuovo decreto sui Certificati Bianchi e le opportunità derivanti dalla trasposizione nazionale delle norme europee rispetto alle Comunità Energetiche</w:t>
      </w:r>
      <w:r w:rsidRPr="007D04CB">
        <w:rPr>
          <w:rFonts w:asciiTheme="minorHAnsi" w:hAnsiTheme="minorHAnsi" w:cstheme="minorHAnsi"/>
          <w:sz w:val="22"/>
          <w:szCs w:val="22"/>
        </w:rPr>
        <w:br/>
        <w:t>• Sviluppo di scenari relativi agli investimenti in efficienza energetica nel comparto industriale nei prossimi anni sulla base del quadro normativo e della volatilità attesa dei prezzi delle commodities, con conseguente valutazione del contributo del settore agli obiettivi di decarbonizzazione nazionali e comunitari.</w:t>
      </w:r>
    </w:p>
    <w:p w14:paraId="1D11428B" w14:textId="77777777" w:rsidR="004C0F21" w:rsidRPr="007D04CB" w:rsidRDefault="004C0F21" w:rsidP="007D04CB">
      <w:pPr>
        <w:pStyle w:val="NormaleWeb"/>
        <w:spacing w:before="0" w:beforeAutospacing="0" w:after="0" w:afterAutospacing="0"/>
        <w:jc w:val="both"/>
        <w:rPr>
          <w:rFonts w:asciiTheme="minorHAnsi" w:hAnsiTheme="minorHAnsi" w:cstheme="minorHAnsi"/>
          <w:sz w:val="22"/>
          <w:szCs w:val="22"/>
        </w:rPr>
      </w:pPr>
      <w:r w:rsidRPr="007D04CB">
        <w:rPr>
          <w:rFonts w:asciiTheme="minorHAnsi" w:hAnsiTheme="minorHAnsi" w:cstheme="minorHAnsi"/>
          <w:sz w:val="22"/>
          <w:szCs w:val="22"/>
        </w:rPr>
        <w:t>Questi i temi che verranno discussi durante il convegno di presentazione dei risultati del Digital Energy Efficiency Report 2022, che coinvolgerà come sempre nel dibattito le imprese Partner della ricerca per discutere e approfondire le analisi svolte e renderle strumento di lavoro per tutti coloro che operano o intendono operare nell’ambito specifico oggetto dello studio</w:t>
      </w:r>
    </w:p>
    <w:p w14:paraId="3A328319" w14:textId="77777777" w:rsidR="004C0F21" w:rsidRPr="007D04CB" w:rsidRDefault="004C0F21" w:rsidP="007D04CB">
      <w:pPr>
        <w:jc w:val="both"/>
        <w:rPr>
          <w:rFonts w:asciiTheme="minorHAnsi" w:hAnsiTheme="minorHAnsi" w:cstheme="minorHAnsi"/>
          <w:sz w:val="22"/>
          <w:szCs w:val="22"/>
        </w:rPr>
      </w:pPr>
      <w:hyperlink r:id="rId9" w:history="1">
        <w:r w:rsidRPr="007D04CB">
          <w:rPr>
            <w:rStyle w:val="Collegamentoipertestuale"/>
            <w:rFonts w:asciiTheme="minorHAnsi" w:hAnsiTheme="minorHAnsi" w:cstheme="minorHAnsi"/>
            <w:sz w:val="22"/>
            <w:szCs w:val="22"/>
          </w:rPr>
          <w:t>https://www.energystrategy.it/prossimi-eventi/digital-energy-efficiency-report-2022/</w:t>
        </w:r>
      </w:hyperlink>
    </w:p>
    <w:p w14:paraId="3EDC1D30" w14:textId="77777777" w:rsidR="004C0F21" w:rsidRPr="007D04CB" w:rsidRDefault="004C0F21" w:rsidP="007D04CB">
      <w:pPr>
        <w:jc w:val="both"/>
        <w:rPr>
          <w:rFonts w:asciiTheme="minorHAnsi" w:hAnsiTheme="minorHAnsi" w:cstheme="minorHAnsi"/>
          <w:sz w:val="22"/>
          <w:szCs w:val="22"/>
        </w:rPr>
      </w:pPr>
    </w:p>
    <w:p w14:paraId="7ADC54CA" w14:textId="77777777" w:rsidR="004C0F21" w:rsidRPr="007D04CB" w:rsidRDefault="004C0F21" w:rsidP="007D04CB">
      <w:pPr>
        <w:jc w:val="both"/>
        <w:rPr>
          <w:rFonts w:asciiTheme="minorHAnsi" w:hAnsiTheme="minorHAnsi" w:cstheme="minorHAnsi"/>
          <w:sz w:val="22"/>
          <w:szCs w:val="22"/>
        </w:rPr>
      </w:pPr>
    </w:p>
    <w:sectPr w:rsidR="004C0F21" w:rsidRPr="007D04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58A2"/>
    <w:rsid w:val="000058A2"/>
    <w:rsid w:val="004C0F21"/>
    <w:rsid w:val="004E2774"/>
    <w:rsid w:val="007B5C95"/>
    <w:rsid w:val="007D04CB"/>
    <w:rsid w:val="00FD4F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7621"/>
  <w15:chartTrackingRefBased/>
  <w15:docId w15:val="{CD055B4C-9EB7-4524-BBEE-5A4FB62DD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0F21"/>
    <w:pPr>
      <w:suppressAutoHyphens/>
      <w:spacing w:after="0" w:line="240" w:lineRule="auto"/>
    </w:pPr>
    <w:rPr>
      <w:rFonts w:ascii="Times New Roman" w:eastAsia="Calibri"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4C0F21"/>
    <w:rPr>
      <w:color w:val="0000FF"/>
      <w:u w:val="single"/>
    </w:rPr>
  </w:style>
  <w:style w:type="paragraph" w:styleId="NormaleWeb">
    <w:name w:val="Normal (Web)"/>
    <w:basedOn w:val="Normale"/>
    <w:uiPriority w:val="99"/>
    <w:semiHidden/>
    <w:unhideWhenUsed/>
    <w:rsid w:val="004C0F21"/>
    <w:pPr>
      <w:suppressAutoHyphens w:val="0"/>
      <w:spacing w:before="100" w:beforeAutospacing="1" w:after="100" w:afterAutospacing="1"/>
    </w:pPr>
    <w:rPr>
      <w:rFonts w:eastAsia="Times New Roman"/>
      <w:lang w:eastAsia="it-IT"/>
    </w:rPr>
  </w:style>
  <w:style w:type="character" w:styleId="Enfasigrassetto">
    <w:name w:val="Strong"/>
    <w:basedOn w:val="Carpredefinitoparagrafo"/>
    <w:uiPriority w:val="22"/>
    <w:qFormat/>
    <w:rsid w:val="004C0F21"/>
    <w:rPr>
      <w:b/>
      <w:bCs/>
    </w:rPr>
  </w:style>
  <w:style w:type="character" w:styleId="Menzionenonrisolta">
    <w:name w:val="Unresolved Mention"/>
    <w:basedOn w:val="Carpredefinitoparagrafo"/>
    <w:uiPriority w:val="99"/>
    <w:semiHidden/>
    <w:unhideWhenUsed/>
    <w:rsid w:val="007B5C95"/>
    <w:rPr>
      <w:color w:val="605E5C"/>
      <w:shd w:val="clear" w:color="auto" w:fill="E1DFDD"/>
    </w:rPr>
  </w:style>
  <w:style w:type="paragraph" w:styleId="PreformattatoHTML">
    <w:name w:val="HTML Preformatted"/>
    <w:basedOn w:val="Normale"/>
    <w:link w:val="PreformattatoHTMLCarattere"/>
    <w:uiPriority w:val="99"/>
    <w:semiHidden/>
    <w:unhideWhenUsed/>
    <w:rsid w:val="007B5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B5C95"/>
    <w:rPr>
      <w:rFonts w:ascii="Courier New" w:eastAsia="Times New Roman" w:hAnsi="Courier New" w:cs="Courier New"/>
      <w:sz w:val="20"/>
      <w:szCs w:val="20"/>
      <w:lang w:eastAsia="it-IT"/>
    </w:rPr>
  </w:style>
  <w:style w:type="character" w:customStyle="1" w:styleId="y2iqfc">
    <w:name w:val="y2iqfc"/>
    <w:basedOn w:val="Carpredefinitoparagrafo"/>
    <w:rsid w:val="007B5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5089">
      <w:bodyDiv w:val="1"/>
      <w:marLeft w:val="0"/>
      <w:marRight w:val="0"/>
      <w:marTop w:val="0"/>
      <w:marBottom w:val="0"/>
      <w:divBdr>
        <w:top w:val="none" w:sz="0" w:space="0" w:color="auto"/>
        <w:left w:val="none" w:sz="0" w:space="0" w:color="auto"/>
        <w:bottom w:val="none" w:sz="0" w:space="0" w:color="auto"/>
        <w:right w:val="none" w:sz="0" w:space="0" w:color="auto"/>
      </w:divBdr>
    </w:div>
    <w:div w:id="15609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m.polimi.it/en/research/research-lines/energy-efficiency-observatory/" TargetMode="External"/><Relationship Id="rId3" Type="http://schemas.openxmlformats.org/officeDocument/2006/relationships/webSettings" Target="webSettings.xml"/><Relationship Id="rId7" Type="http://schemas.openxmlformats.org/officeDocument/2006/relationships/hyperlink" Target="https://www.energystrategy.it/osservatorio-di-ricerca/digital-energy-efficien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ergystrategy.it/osservatorio-di-ricerca/digital-energy-efficiency/?2011"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energystrategy.it/prossimi-eventi/digital-energy-efficiency-report-202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942</Words>
  <Characters>5371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2023-02-13T17:01:00Z</dcterms:created>
  <dcterms:modified xsi:type="dcterms:W3CDTF">2023-02-13T17:36:00Z</dcterms:modified>
</cp:coreProperties>
</file>