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F49C5" w14:textId="5A33059C" w:rsidR="00FC36F9" w:rsidRPr="00BD1319" w:rsidRDefault="00FC36F9" w:rsidP="00FC36F9">
      <w:pPr>
        <w:jc w:val="both"/>
        <w:rPr>
          <w:rFonts w:cstheme="minorHAnsi"/>
          <w:bCs/>
          <w:i/>
        </w:rPr>
      </w:pPr>
      <w:r>
        <w:rPr>
          <w:rFonts w:asciiTheme="minorHAnsi" w:hAnsiTheme="minorHAnsi" w:cstheme="minorHAnsi"/>
          <w:b/>
          <w:bCs/>
          <w:color w:val="C00000"/>
          <w:sz w:val="44"/>
          <w:szCs w:val="44"/>
        </w:rPr>
        <w:t>E10565</w:t>
      </w:r>
      <w:r w:rsidRPr="00BD1319">
        <w:rPr>
          <w:rFonts w:cstheme="minorHAnsi"/>
          <w:b/>
          <w:bCs/>
          <w:sz w:val="44"/>
          <w:szCs w:val="44"/>
        </w:rPr>
        <w:t xml:space="preserve"> </w:t>
      </w:r>
      <w:r w:rsidRPr="00BD1319">
        <w:rPr>
          <w:rFonts w:cstheme="minorHAnsi"/>
          <w:b/>
          <w:bCs/>
        </w:rPr>
        <w:tab/>
      </w:r>
      <w:r w:rsidRPr="00BD1319">
        <w:rPr>
          <w:rFonts w:cstheme="minorHAnsi"/>
          <w:b/>
          <w:bCs/>
        </w:rPr>
        <w:tab/>
      </w:r>
      <w:r w:rsidRPr="00BD1319">
        <w:rPr>
          <w:rFonts w:cstheme="minorHAnsi"/>
          <w:b/>
          <w:bCs/>
        </w:rPr>
        <w:tab/>
      </w:r>
      <w:r w:rsidRPr="00BD1319">
        <w:rPr>
          <w:rFonts w:cstheme="minorHAnsi"/>
          <w:b/>
          <w:bCs/>
        </w:rPr>
        <w:tab/>
      </w:r>
      <w:r w:rsidRPr="00BD1319">
        <w:rPr>
          <w:rFonts w:cstheme="minorHAnsi"/>
          <w:b/>
          <w:bCs/>
        </w:rPr>
        <w:tab/>
      </w:r>
      <w:r w:rsidRPr="00BD1319">
        <w:rPr>
          <w:rFonts w:cstheme="minorHAnsi"/>
          <w:b/>
          <w:bCs/>
        </w:rPr>
        <w:tab/>
      </w:r>
      <w:r w:rsidRPr="00BD1319">
        <w:rPr>
          <w:rFonts w:cstheme="minorHAnsi"/>
          <w:b/>
          <w:bCs/>
        </w:rPr>
        <w:tab/>
      </w:r>
      <w:r w:rsidRPr="00BD1319">
        <w:rPr>
          <w:rFonts w:cstheme="minorHAnsi"/>
          <w:b/>
          <w:bCs/>
        </w:rPr>
        <w:tab/>
      </w:r>
      <w:r w:rsidRPr="00DF6EFE">
        <w:rPr>
          <w:rFonts w:asciiTheme="minorHAnsi" w:hAnsiTheme="minorHAnsi" w:cstheme="minorHAnsi"/>
          <w:bCs/>
          <w:i/>
          <w:sz w:val="16"/>
          <w:szCs w:val="16"/>
        </w:rPr>
        <w:t>Scheda creata il 27 maggio 2023</w:t>
      </w:r>
    </w:p>
    <w:p w14:paraId="63D8A8F7" w14:textId="31DA2E5F" w:rsidR="00FC36F9" w:rsidRDefault="00FC36F9" w:rsidP="00FC36F9">
      <w:pPr>
        <w:jc w:val="center"/>
        <w:rPr>
          <w:rFonts w:asciiTheme="minorHAnsi" w:hAnsiTheme="minorHAnsi" w:cstheme="minorHAnsi"/>
          <w:b/>
          <w:bCs/>
          <w:color w:val="C00000"/>
          <w:sz w:val="44"/>
          <w:szCs w:val="44"/>
        </w:rPr>
      </w:pPr>
      <w:r w:rsidRPr="00FC36F9">
        <w:drawing>
          <wp:inline distT="0" distB="0" distL="0" distR="0" wp14:anchorId="2892099B" wp14:editId="37377644">
            <wp:extent cx="3052800" cy="2160000"/>
            <wp:effectExtent l="0" t="0" r="0" b="0"/>
            <wp:docPr id="115614129" name="Immagine 1" descr="Immagine che contiene testo, schermata, design, biglietto da visit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614129" name="Immagine 1" descr="Immagine che contiene testo, schermata, design, biglietto da visita&#10;&#10;Descrizione generata automaticamente"/>
                    <pic:cNvPicPr/>
                  </pic:nvPicPr>
                  <pic:blipFill>
                    <a:blip r:embed="rId4"/>
                    <a:stretch>
                      <a:fillRect/>
                    </a:stretch>
                  </pic:blipFill>
                  <pic:spPr>
                    <a:xfrm>
                      <a:off x="0" y="0"/>
                      <a:ext cx="3052800" cy="2160000"/>
                    </a:xfrm>
                    <a:prstGeom prst="rect">
                      <a:avLst/>
                    </a:prstGeom>
                  </pic:spPr>
                </pic:pic>
              </a:graphicData>
            </a:graphic>
          </wp:inline>
        </w:drawing>
      </w:r>
      <w:r>
        <w:rPr>
          <w:rFonts w:asciiTheme="minorHAnsi" w:hAnsiTheme="minorHAnsi" w:cstheme="minorHAnsi"/>
          <w:b/>
          <w:bCs/>
          <w:noProof/>
          <w:color w:val="C00000"/>
          <w:sz w:val="44"/>
          <w:szCs w:val="44"/>
        </w:rPr>
        <w:drawing>
          <wp:inline distT="0" distB="0" distL="0" distR="0" wp14:anchorId="5536322D" wp14:editId="55AF0AA0">
            <wp:extent cx="1443600" cy="2160000"/>
            <wp:effectExtent l="0" t="0" r="4445" b="0"/>
            <wp:docPr id="1485985227" name="Immagine 1" descr="Ventesimo Rapporto sulla Legislazione della Regione Emilia-Romagna — Regione  Emilia-Romag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ntesimo Rapporto sulla Legislazione della Regione Emilia-Romagna — Regione  Emilia-Romagn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3600" cy="2160000"/>
                    </a:xfrm>
                    <a:prstGeom prst="rect">
                      <a:avLst/>
                    </a:prstGeom>
                    <a:noFill/>
                    <a:ln>
                      <a:noFill/>
                    </a:ln>
                  </pic:spPr>
                </pic:pic>
              </a:graphicData>
            </a:graphic>
          </wp:inline>
        </w:drawing>
      </w:r>
    </w:p>
    <w:p w14:paraId="13ECA0FE" w14:textId="486EF5CE" w:rsidR="00FC36F9" w:rsidRPr="001D165E" w:rsidRDefault="00FC36F9" w:rsidP="00FC36F9">
      <w:pPr>
        <w:jc w:val="both"/>
        <w:rPr>
          <w:rFonts w:asciiTheme="minorHAnsi" w:hAnsiTheme="minorHAnsi" w:cstheme="minorHAnsi"/>
          <w:b/>
          <w:bCs/>
          <w:color w:val="C00000"/>
          <w:sz w:val="44"/>
          <w:szCs w:val="44"/>
        </w:rPr>
      </w:pPr>
      <w:r w:rsidRPr="001D165E">
        <w:rPr>
          <w:rFonts w:asciiTheme="minorHAnsi" w:hAnsiTheme="minorHAnsi" w:cstheme="minorHAnsi"/>
          <w:b/>
          <w:bCs/>
          <w:color w:val="C00000"/>
          <w:sz w:val="44"/>
          <w:szCs w:val="44"/>
        </w:rPr>
        <w:t>Descrizione bibliografica</w:t>
      </w:r>
    </w:p>
    <w:p w14:paraId="32DC6297" w14:textId="56ECF058" w:rsidR="00FC36F9" w:rsidRPr="00FC36F9" w:rsidRDefault="00FC36F9" w:rsidP="00FC36F9">
      <w:pPr>
        <w:tabs>
          <w:tab w:val="right" w:pos="6480"/>
        </w:tabs>
        <w:jc w:val="both"/>
        <w:rPr>
          <w:rFonts w:asciiTheme="minorHAnsi" w:hAnsiTheme="minorHAnsi" w:cstheme="minorHAnsi"/>
          <w:sz w:val="22"/>
          <w:szCs w:val="22"/>
        </w:rPr>
      </w:pPr>
      <w:r w:rsidRPr="00FC36F9">
        <w:rPr>
          <w:rFonts w:asciiTheme="minorHAnsi" w:hAnsiTheme="minorHAnsi" w:cstheme="minorHAnsi"/>
          <w:b/>
          <w:sz w:val="22"/>
          <w:szCs w:val="22"/>
        </w:rPr>
        <w:t>*Rapporto sulla legislazione della Regione Emilia-Romagna</w:t>
      </w:r>
      <w:r w:rsidRPr="00FC36F9">
        <w:rPr>
          <w:rFonts w:asciiTheme="minorHAnsi" w:hAnsiTheme="minorHAnsi" w:cstheme="minorHAnsi"/>
          <w:sz w:val="22"/>
          <w:szCs w:val="22"/>
        </w:rPr>
        <w:t xml:space="preserve"> / Regione Emilia-Romagna, Assemblea   legislativa. - 1 (2000/2001/2002)-</w:t>
      </w:r>
      <w:r w:rsidRPr="00FC36F9">
        <w:rPr>
          <w:rFonts w:asciiTheme="minorHAnsi" w:hAnsiTheme="minorHAnsi" w:cstheme="minorHAnsi"/>
          <w:sz w:val="22"/>
          <w:szCs w:val="22"/>
        </w:rPr>
        <w:t xml:space="preserve">    . - </w:t>
      </w:r>
      <w:r w:rsidRPr="00FC36F9">
        <w:rPr>
          <w:rFonts w:asciiTheme="minorHAnsi" w:hAnsiTheme="minorHAnsi" w:cstheme="minorHAnsi"/>
          <w:sz w:val="22"/>
          <w:szCs w:val="22"/>
        </w:rPr>
        <w:t>[Bologna] : Assemblea legislativa della Regione Emilia-Romagna</w:t>
      </w:r>
      <w:r w:rsidRPr="00FC36F9">
        <w:rPr>
          <w:rFonts w:asciiTheme="minorHAnsi" w:hAnsiTheme="minorHAnsi" w:cstheme="minorHAnsi"/>
          <w:sz w:val="22"/>
          <w:szCs w:val="22"/>
        </w:rPr>
        <w:t xml:space="preserve">, 2003-    </w:t>
      </w:r>
      <w:r w:rsidRPr="00FC36F9">
        <w:rPr>
          <w:rFonts w:asciiTheme="minorHAnsi" w:hAnsiTheme="minorHAnsi" w:cstheme="minorHAnsi"/>
          <w:sz w:val="22"/>
          <w:szCs w:val="22"/>
        </w:rPr>
        <w:t xml:space="preserve">. - volumi ; 21x30 cm +   appendice. ((Annuale. </w:t>
      </w:r>
      <w:r>
        <w:rPr>
          <w:rFonts w:asciiTheme="minorHAnsi" w:hAnsiTheme="minorHAnsi" w:cstheme="minorHAnsi"/>
          <w:sz w:val="22"/>
          <w:szCs w:val="22"/>
        </w:rPr>
        <w:t>–</w:t>
      </w:r>
      <w:r w:rsidRPr="00FC36F9">
        <w:rPr>
          <w:rFonts w:asciiTheme="minorHAnsi" w:hAnsiTheme="minorHAnsi" w:cstheme="minorHAnsi"/>
          <w:sz w:val="22"/>
          <w:szCs w:val="22"/>
        </w:rPr>
        <w:t xml:space="preserve"> </w:t>
      </w:r>
      <w:r>
        <w:rPr>
          <w:rFonts w:asciiTheme="minorHAnsi" w:hAnsiTheme="minorHAnsi" w:cstheme="minorHAnsi"/>
          <w:sz w:val="22"/>
          <w:szCs w:val="22"/>
        </w:rPr>
        <w:t xml:space="preserve">Disponibile anche online. - </w:t>
      </w:r>
      <w:r w:rsidRPr="00FC36F9">
        <w:rPr>
          <w:rFonts w:asciiTheme="minorHAnsi" w:hAnsiTheme="minorHAnsi" w:cstheme="minorHAnsi"/>
          <w:sz w:val="22"/>
          <w:szCs w:val="22"/>
        </w:rPr>
        <w:t>Dal 9. Rapporto (2010, ed. 2011) privo di appendice.</w:t>
      </w:r>
      <w:r w:rsidRPr="00FC36F9">
        <w:rPr>
          <w:rFonts w:asciiTheme="minorHAnsi" w:hAnsiTheme="minorHAnsi" w:cstheme="minorHAnsi"/>
          <w:sz w:val="22"/>
          <w:szCs w:val="22"/>
        </w:rPr>
        <w:t xml:space="preserve"> - </w:t>
      </w:r>
      <w:r w:rsidRPr="00FC36F9">
        <w:rPr>
          <w:rFonts w:asciiTheme="minorHAnsi" w:hAnsiTheme="minorHAnsi" w:cstheme="minorHAnsi"/>
          <w:sz w:val="22"/>
          <w:szCs w:val="22"/>
        </w:rPr>
        <w:t>Il formato cambia: 22x22 cm. - CFI0701457</w:t>
      </w:r>
    </w:p>
    <w:p w14:paraId="4BBF05EF" w14:textId="77777777" w:rsidR="00FC36F9" w:rsidRPr="00FC36F9" w:rsidRDefault="00FC36F9" w:rsidP="00FC36F9">
      <w:pPr>
        <w:tabs>
          <w:tab w:val="right" w:pos="6480"/>
        </w:tabs>
        <w:jc w:val="both"/>
        <w:rPr>
          <w:rFonts w:asciiTheme="minorHAnsi" w:hAnsiTheme="minorHAnsi" w:cstheme="minorHAnsi"/>
          <w:sz w:val="22"/>
          <w:szCs w:val="22"/>
        </w:rPr>
      </w:pPr>
      <w:r w:rsidRPr="00FC36F9">
        <w:rPr>
          <w:rFonts w:asciiTheme="minorHAnsi" w:hAnsiTheme="minorHAnsi" w:cstheme="minorHAnsi"/>
          <w:sz w:val="22"/>
          <w:szCs w:val="22"/>
        </w:rPr>
        <w:t>Autore: Emilia-Romagna : Assemblea legislativa</w:t>
      </w:r>
    </w:p>
    <w:p w14:paraId="7A537BCF" w14:textId="77777777" w:rsidR="00FC36F9" w:rsidRPr="00FC36F9" w:rsidRDefault="00FC36F9" w:rsidP="00FC36F9">
      <w:pPr>
        <w:pStyle w:val="Testonormale2"/>
        <w:tabs>
          <w:tab w:val="right" w:pos="6660"/>
        </w:tabs>
        <w:jc w:val="both"/>
        <w:rPr>
          <w:rFonts w:asciiTheme="minorHAnsi" w:hAnsiTheme="minorHAnsi" w:cstheme="minorHAnsi"/>
          <w:sz w:val="22"/>
          <w:szCs w:val="22"/>
        </w:rPr>
      </w:pPr>
      <w:r w:rsidRPr="00FC36F9">
        <w:rPr>
          <w:rFonts w:asciiTheme="minorHAnsi" w:hAnsiTheme="minorHAnsi" w:cstheme="minorHAnsi"/>
          <w:sz w:val="22"/>
          <w:szCs w:val="22"/>
        </w:rPr>
        <w:t>Soggetti: Emilia-Romagna - Legislazione - Periodici</w:t>
      </w:r>
    </w:p>
    <w:p w14:paraId="6FC1BA2B" w14:textId="77777777" w:rsidR="00FC36F9" w:rsidRPr="00FC36F9" w:rsidRDefault="00FC36F9" w:rsidP="00FC36F9">
      <w:pPr>
        <w:pStyle w:val="Testonormale2"/>
        <w:tabs>
          <w:tab w:val="right" w:pos="6660"/>
        </w:tabs>
        <w:jc w:val="both"/>
        <w:rPr>
          <w:rFonts w:asciiTheme="minorHAnsi" w:hAnsiTheme="minorHAnsi" w:cstheme="minorHAnsi"/>
          <w:sz w:val="22"/>
          <w:szCs w:val="22"/>
        </w:rPr>
      </w:pPr>
      <w:r w:rsidRPr="00FC36F9">
        <w:rPr>
          <w:rFonts w:asciiTheme="minorHAnsi" w:hAnsiTheme="minorHAnsi" w:cstheme="minorHAnsi"/>
          <w:sz w:val="22"/>
          <w:szCs w:val="22"/>
        </w:rPr>
        <w:t>Classe: D348.454023</w:t>
      </w:r>
    </w:p>
    <w:p w14:paraId="4DE4A3FA" w14:textId="77777777" w:rsidR="00FC36F9" w:rsidRDefault="00FC36F9" w:rsidP="00FC36F9">
      <w:pPr>
        <w:pStyle w:val="Testonormale2"/>
        <w:tabs>
          <w:tab w:val="right" w:pos="6660"/>
        </w:tabs>
        <w:jc w:val="both"/>
        <w:rPr>
          <w:rFonts w:ascii="Calibri" w:hAnsi="Calibri" w:cs="Calibri"/>
          <w:sz w:val="22"/>
          <w:szCs w:val="22"/>
        </w:rPr>
      </w:pPr>
    </w:p>
    <w:p w14:paraId="629E7FA1" w14:textId="1AFEF833" w:rsidR="00FC36F9" w:rsidRDefault="00FC36F9" w:rsidP="00FC36F9">
      <w:pPr>
        <w:pStyle w:val="Testonormale2"/>
        <w:tabs>
          <w:tab w:val="right" w:pos="6660"/>
        </w:tabs>
        <w:jc w:val="both"/>
        <w:rPr>
          <w:rFonts w:ascii="Calibri" w:hAnsi="Calibri" w:cs="Calibri"/>
          <w:color w:val="C00000"/>
          <w:sz w:val="44"/>
          <w:szCs w:val="44"/>
        </w:rPr>
      </w:pPr>
      <w:r>
        <w:rPr>
          <w:rFonts w:ascii="Calibri" w:hAnsi="Calibri" w:cs="Calibri"/>
          <w:b/>
          <w:bCs/>
          <w:color w:val="C00000"/>
          <w:sz w:val="44"/>
          <w:szCs w:val="44"/>
        </w:rPr>
        <w:t xml:space="preserve">Volumi disponibili in rete </w:t>
      </w:r>
      <w:hyperlink r:id="rId6" w:history="1">
        <w:r w:rsidRPr="00FC36F9">
          <w:rPr>
            <w:rStyle w:val="Collegamentoipertestuale"/>
            <w:rFonts w:ascii="Calibri" w:hAnsi="Calibri" w:cs="Calibri"/>
            <w:sz w:val="44"/>
            <w:szCs w:val="44"/>
          </w:rPr>
          <w:t>1(2000/2002)-</w:t>
        </w:r>
      </w:hyperlink>
    </w:p>
    <w:p w14:paraId="08BA3A6C" w14:textId="77777777" w:rsidR="00FC36F9" w:rsidRPr="00FC36F9" w:rsidRDefault="00FC36F9" w:rsidP="00FC36F9">
      <w:pPr>
        <w:pStyle w:val="Testonormale2"/>
        <w:tabs>
          <w:tab w:val="right" w:pos="6660"/>
        </w:tabs>
        <w:jc w:val="both"/>
        <w:rPr>
          <w:rFonts w:ascii="Calibri" w:hAnsi="Calibri" w:cs="Calibri"/>
          <w:color w:val="C00000"/>
          <w:sz w:val="22"/>
          <w:szCs w:val="22"/>
        </w:rPr>
      </w:pPr>
    </w:p>
    <w:p w14:paraId="09896925" w14:textId="3F0CA18D" w:rsidR="00FC36F9" w:rsidRPr="00FC36F9" w:rsidRDefault="00FC36F9" w:rsidP="00FC36F9">
      <w:pPr>
        <w:pStyle w:val="Testonormale2"/>
        <w:tabs>
          <w:tab w:val="right" w:pos="6660"/>
        </w:tabs>
        <w:jc w:val="both"/>
        <w:rPr>
          <w:rFonts w:ascii="Calibri" w:hAnsi="Calibri" w:cs="Calibri"/>
          <w:b/>
          <w:bCs/>
          <w:color w:val="C00000"/>
          <w:sz w:val="44"/>
          <w:szCs w:val="44"/>
        </w:rPr>
      </w:pPr>
      <w:r w:rsidRPr="00FC36F9">
        <w:rPr>
          <w:rFonts w:ascii="Calibri" w:hAnsi="Calibri" w:cs="Calibri"/>
          <w:b/>
          <w:bCs/>
          <w:color w:val="C00000"/>
          <w:sz w:val="44"/>
          <w:szCs w:val="44"/>
        </w:rPr>
        <w:t>Informazioni storico-bibliografiche</w:t>
      </w:r>
    </w:p>
    <w:p w14:paraId="2475B75C" w14:textId="77777777" w:rsidR="00FC36F9" w:rsidRPr="00FC36F9" w:rsidRDefault="00FC36F9" w:rsidP="00FC36F9">
      <w:pPr>
        <w:pStyle w:val="NormaleWeb"/>
        <w:spacing w:before="0" w:beforeAutospacing="0" w:after="0" w:afterAutospacing="0"/>
        <w:jc w:val="both"/>
        <w:rPr>
          <w:rFonts w:asciiTheme="minorHAnsi" w:hAnsiTheme="minorHAnsi" w:cstheme="minorHAnsi"/>
          <w:sz w:val="22"/>
          <w:szCs w:val="22"/>
        </w:rPr>
      </w:pPr>
      <w:r w:rsidRPr="00FC36F9">
        <w:rPr>
          <w:rFonts w:asciiTheme="minorHAnsi" w:hAnsiTheme="minorHAnsi" w:cstheme="minorHAnsi"/>
          <w:sz w:val="22"/>
          <w:szCs w:val="22"/>
        </w:rPr>
        <w:t>Il</w:t>
      </w:r>
      <w:r w:rsidRPr="00FC36F9">
        <w:rPr>
          <w:rStyle w:val="Enfasigrassetto"/>
          <w:rFonts w:asciiTheme="minorHAnsi" w:hAnsiTheme="minorHAnsi" w:cstheme="minorHAnsi"/>
          <w:sz w:val="22"/>
          <w:szCs w:val="22"/>
        </w:rPr>
        <w:t xml:space="preserve"> rapporto sulla legislazione della Regione Emilia-Romagna </w:t>
      </w:r>
      <w:r w:rsidRPr="00FC36F9">
        <w:rPr>
          <w:rFonts w:asciiTheme="minorHAnsi" w:hAnsiTheme="minorHAnsi" w:cstheme="minorHAnsi"/>
          <w:sz w:val="22"/>
          <w:szCs w:val="22"/>
        </w:rPr>
        <w:t>viene realizzato annualmente dal Servizio affari legislativi e coordinamento commissioni assembleari. L’attività di monitoraggio della produzione legislativa regionale è infatti cominciata, nella nostra Regione, a partire dall’anno 2002, inizialmente “suggerita” dall’Osservatorio sulla legislazione della Camera dei Deputati. Dal 1 gennaio 2008, invece, la stesura annuale del rapporto viene espressamente prevista dal comma 2, dell’art. 45 del nuovo Regolamento interno, avente ad oggetto “Metodi per l’esercizio dell’ attività legislativa, di programmazione e regolamentare”. In virtù di tale previsione regolamentare il rapporto si colloca a tutti gli effetti tra gli strumenti per la qualità della normazione, e, ad oggi, con l’avvio dell’ XI legislatura, esso rientra anche tra le nuove competenze attribuite alla VI Commissione assembleare permanente “Statuto e regolamento”.</w:t>
      </w:r>
    </w:p>
    <w:p w14:paraId="53081B90" w14:textId="77777777" w:rsidR="00FC36F9" w:rsidRPr="00FC36F9" w:rsidRDefault="00FC36F9" w:rsidP="00FC36F9">
      <w:pPr>
        <w:pStyle w:val="NormaleWeb"/>
        <w:spacing w:before="0" w:beforeAutospacing="0" w:after="0" w:afterAutospacing="0"/>
        <w:jc w:val="both"/>
        <w:rPr>
          <w:rFonts w:asciiTheme="minorHAnsi" w:hAnsiTheme="minorHAnsi" w:cstheme="minorHAnsi"/>
          <w:sz w:val="22"/>
          <w:szCs w:val="22"/>
        </w:rPr>
      </w:pPr>
      <w:r w:rsidRPr="00FC36F9">
        <w:rPr>
          <w:rFonts w:asciiTheme="minorHAnsi" w:hAnsiTheme="minorHAnsi" w:cstheme="minorHAnsi"/>
          <w:sz w:val="22"/>
          <w:szCs w:val="22"/>
        </w:rPr>
        <w:t xml:space="preserve">Il Rapporto analizza i </w:t>
      </w:r>
      <w:r w:rsidRPr="00FC36F9">
        <w:rPr>
          <w:rStyle w:val="Enfasigrassetto"/>
          <w:rFonts w:asciiTheme="minorHAnsi" w:hAnsiTheme="minorHAnsi" w:cstheme="minorHAnsi"/>
          <w:sz w:val="22"/>
          <w:szCs w:val="22"/>
        </w:rPr>
        <w:t>principali dati quantitativi e sostanziali</w:t>
      </w:r>
      <w:r w:rsidRPr="00FC36F9">
        <w:rPr>
          <w:rFonts w:asciiTheme="minorHAnsi" w:hAnsiTheme="minorHAnsi" w:cstheme="minorHAnsi"/>
          <w:sz w:val="22"/>
          <w:szCs w:val="22"/>
        </w:rPr>
        <w:t xml:space="preserve"> che ineriscono l’attività legislativa, amministrativa e di controllo svolta annualmente in Regione, al fine di confrontarne negli anni le principali tendenze evolutive.</w:t>
      </w:r>
    </w:p>
    <w:p w14:paraId="791646AA" w14:textId="77777777" w:rsidR="00FC36F9" w:rsidRPr="00FC36F9" w:rsidRDefault="00FC36F9" w:rsidP="00FC36F9">
      <w:pPr>
        <w:pStyle w:val="NormaleWeb"/>
        <w:spacing w:before="0" w:beforeAutospacing="0" w:after="0" w:afterAutospacing="0"/>
        <w:jc w:val="both"/>
        <w:rPr>
          <w:rFonts w:asciiTheme="minorHAnsi" w:hAnsiTheme="minorHAnsi" w:cstheme="minorHAnsi"/>
          <w:sz w:val="22"/>
          <w:szCs w:val="22"/>
        </w:rPr>
      </w:pPr>
      <w:r w:rsidRPr="00FC36F9">
        <w:rPr>
          <w:rFonts w:asciiTheme="minorHAnsi" w:hAnsiTheme="minorHAnsi" w:cstheme="minorHAnsi"/>
          <w:sz w:val="22"/>
          <w:szCs w:val="22"/>
        </w:rPr>
        <w:t xml:space="preserve">Il Rapporto illustra altresì le principali iniziative assunte dall’Assemblea sul versante della </w:t>
      </w:r>
      <w:r w:rsidRPr="00FC36F9">
        <w:rPr>
          <w:rStyle w:val="Enfasigrassetto"/>
          <w:rFonts w:asciiTheme="minorHAnsi" w:hAnsiTheme="minorHAnsi" w:cstheme="minorHAnsi"/>
          <w:sz w:val="22"/>
          <w:szCs w:val="22"/>
        </w:rPr>
        <w:t>“qualità” della legislazione</w:t>
      </w:r>
      <w:r w:rsidRPr="00FC36F9">
        <w:rPr>
          <w:rFonts w:asciiTheme="minorHAnsi" w:hAnsiTheme="minorHAnsi" w:cstheme="minorHAnsi"/>
          <w:sz w:val="22"/>
          <w:szCs w:val="22"/>
        </w:rPr>
        <w:t xml:space="preserve"> (in particolare in tema di </w:t>
      </w:r>
      <w:hyperlink r:id="rId7" w:tgtFrame="_self" w:history="1">
        <w:r w:rsidRPr="00FC36F9">
          <w:rPr>
            <w:rStyle w:val="internal-link"/>
            <w:rFonts w:asciiTheme="minorHAnsi" w:hAnsiTheme="minorHAnsi" w:cstheme="minorHAnsi"/>
            <w:color w:val="0000FF"/>
            <w:sz w:val="22"/>
            <w:szCs w:val="22"/>
          </w:rPr>
          <w:t>valutazione delle politiche pubbliche</w:t>
        </w:r>
      </w:hyperlink>
      <w:r w:rsidRPr="00FC36F9">
        <w:rPr>
          <w:rFonts w:asciiTheme="minorHAnsi" w:hAnsiTheme="minorHAnsi" w:cstheme="minorHAnsi"/>
          <w:sz w:val="22"/>
          <w:szCs w:val="22"/>
        </w:rPr>
        <w:t xml:space="preserve"> e </w:t>
      </w:r>
      <w:hyperlink r:id="rId8" w:tgtFrame="_self" w:history="1">
        <w:r w:rsidRPr="00FC36F9">
          <w:rPr>
            <w:rStyle w:val="internal-link"/>
            <w:rFonts w:asciiTheme="minorHAnsi" w:hAnsiTheme="minorHAnsi" w:cstheme="minorHAnsi"/>
            <w:color w:val="0000FF"/>
            <w:sz w:val="22"/>
            <w:szCs w:val="22"/>
          </w:rPr>
          <w:t>clausole valutative</w:t>
        </w:r>
      </w:hyperlink>
      <w:r w:rsidRPr="00FC36F9">
        <w:rPr>
          <w:rFonts w:asciiTheme="minorHAnsi" w:hAnsiTheme="minorHAnsi" w:cstheme="minorHAnsi"/>
          <w:sz w:val="22"/>
          <w:szCs w:val="22"/>
        </w:rPr>
        <w:t>).</w:t>
      </w:r>
    </w:p>
    <w:p w14:paraId="66A1E26A" w14:textId="77777777" w:rsidR="00FC36F9" w:rsidRPr="00FC36F9" w:rsidRDefault="00FC36F9" w:rsidP="00FC36F9">
      <w:pPr>
        <w:pStyle w:val="NormaleWeb"/>
        <w:spacing w:before="0" w:beforeAutospacing="0" w:after="0" w:afterAutospacing="0"/>
        <w:jc w:val="both"/>
        <w:rPr>
          <w:rFonts w:asciiTheme="minorHAnsi" w:hAnsiTheme="minorHAnsi" w:cstheme="minorHAnsi"/>
          <w:sz w:val="22"/>
          <w:szCs w:val="22"/>
        </w:rPr>
      </w:pPr>
      <w:r w:rsidRPr="00FC36F9">
        <w:rPr>
          <w:rFonts w:asciiTheme="minorHAnsi" w:hAnsiTheme="minorHAnsi" w:cstheme="minorHAnsi"/>
          <w:sz w:val="22"/>
          <w:szCs w:val="22"/>
        </w:rPr>
        <w:t>Destinatari privilegiati dell’opera sono i Consiglieri regionali, ma anche i dirigenti e i funzionari regionali, la società civile e i cittadini.</w:t>
      </w:r>
    </w:p>
    <w:p w14:paraId="6B77E3AF" w14:textId="77777777" w:rsidR="00FC36F9" w:rsidRPr="00FC36F9" w:rsidRDefault="00FC36F9" w:rsidP="00FC36F9">
      <w:pPr>
        <w:pStyle w:val="NormaleWeb"/>
        <w:spacing w:before="0" w:beforeAutospacing="0" w:after="0" w:afterAutospacing="0"/>
        <w:jc w:val="both"/>
        <w:rPr>
          <w:rFonts w:asciiTheme="minorHAnsi" w:hAnsiTheme="minorHAnsi" w:cstheme="minorHAnsi"/>
          <w:sz w:val="22"/>
          <w:szCs w:val="22"/>
        </w:rPr>
      </w:pPr>
      <w:r w:rsidRPr="00FC36F9">
        <w:rPr>
          <w:rFonts w:asciiTheme="minorHAnsi" w:hAnsiTheme="minorHAnsi" w:cstheme="minorHAnsi"/>
          <w:sz w:val="22"/>
          <w:szCs w:val="22"/>
        </w:rPr>
        <w:t>La nota di sintesi che lo precede illustra sinteticamente al lettore i punti più rilevanti del suo contenuto, e fotografa le principali tendenze che la legislazione regionale ha assunto negli anni.</w:t>
      </w:r>
    </w:p>
    <w:p w14:paraId="71668EFB" w14:textId="77777777" w:rsidR="00FC36F9" w:rsidRPr="00FC36F9" w:rsidRDefault="00FC36F9" w:rsidP="00FC36F9">
      <w:pPr>
        <w:pStyle w:val="NormaleWeb"/>
        <w:spacing w:before="0" w:beforeAutospacing="0" w:after="0" w:afterAutospacing="0"/>
        <w:jc w:val="both"/>
        <w:rPr>
          <w:rFonts w:asciiTheme="minorHAnsi" w:hAnsiTheme="minorHAnsi" w:cstheme="minorHAnsi"/>
          <w:sz w:val="22"/>
          <w:szCs w:val="22"/>
        </w:rPr>
      </w:pPr>
      <w:r w:rsidRPr="00FC36F9">
        <w:rPr>
          <w:rStyle w:val="Enfasicorsivo"/>
          <w:rFonts w:asciiTheme="minorHAnsi" w:hAnsiTheme="minorHAnsi" w:cstheme="minorHAnsi"/>
          <w:sz w:val="22"/>
          <w:szCs w:val="22"/>
        </w:rPr>
        <w:t>(ultimo aggiornamento 26/04/2021)</w:t>
      </w:r>
    </w:p>
    <w:p w14:paraId="496EF6CD" w14:textId="33627BC6" w:rsidR="00FC36F9" w:rsidRPr="00FC36F9" w:rsidRDefault="00FC36F9" w:rsidP="00FC36F9">
      <w:pPr>
        <w:pStyle w:val="Testonormale2"/>
        <w:tabs>
          <w:tab w:val="right" w:pos="6660"/>
        </w:tabs>
        <w:jc w:val="both"/>
        <w:rPr>
          <w:rFonts w:asciiTheme="minorHAnsi" w:hAnsiTheme="minorHAnsi" w:cstheme="minorHAnsi"/>
          <w:sz w:val="22"/>
          <w:szCs w:val="22"/>
        </w:rPr>
      </w:pPr>
      <w:hyperlink r:id="rId9" w:history="1">
        <w:r w:rsidRPr="00FC36F9">
          <w:rPr>
            <w:rStyle w:val="Collegamentoipertestuale"/>
            <w:rFonts w:asciiTheme="minorHAnsi" w:hAnsiTheme="minorHAnsi" w:cstheme="minorHAnsi"/>
            <w:sz w:val="22"/>
            <w:szCs w:val="22"/>
          </w:rPr>
          <w:t>https://www.assemblea.emr.it/attivita-1/Servizi-e-uffici/segreteria-affari-legislativi-coord-commissioni/supporto-legislativo/rapporto-sulla-legislazione-della-regione-emilia-romagna</w:t>
        </w:r>
      </w:hyperlink>
    </w:p>
    <w:p w14:paraId="4AF42D55" w14:textId="77777777" w:rsidR="00FC36F9" w:rsidRPr="00FC36F9" w:rsidRDefault="00FC36F9" w:rsidP="00FC36F9">
      <w:pPr>
        <w:pStyle w:val="Testonormale2"/>
        <w:tabs>
          <w:tab w:val="right" w:pos="6660"/>
        </w:tabs>
        <w:jc w:val="both"/>
        <w:rPr>
          <w:rFonts w:asciiTheme="minorHAnsi" w:hAnsiTheme="minorHAnsi" w:cstheme="minorHAnsi"/>
          <w:b/>
          <w:bCs/>
          <w:sz w:val="22"/>
          <w:szCs w:val="22"/>
        </w:rPr>
      </w:pPr>
    </w:p>
    <w:p w14:paraId="02772CE4" w14:textId="77777777" w:rsidR="0031062F" w:rsidRPr="00FC36F9" w:rsidRDefault="0031062F" w:rsidP="00FC36F9">
      <w:pPr>
        <w:jc w:val="both"/>
        <w:rPr>
          <w:rFonts w:asciiTheme="minorHAnsi" w:hAnsiTheme="minorHAnsi" w:cstheme="minorHAnsi"/>
          <w:sz w:val="22"/>
          <w:szCs w:val="22"/>
        </w:rPr>
      </w:pPr>
    </w:p>
    <w:sectPr w:rsidR="0031062F" w:rsidRPr="00FC36F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131A1"/>
    <w:rsid w:val="000131A1"/>
    <w:rsid w:val="0031062F"/>
    <w:rsid w:val="00E84EF4"/>
    <w:rsid w:val="00FC36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DE035"/>
  <w15:chartTrackingRefBased/>
  <w15:docId w15:val="{8232C80C-D34D-425F-87C8-314C8C9F7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C36F9"/>
    <w:pPr>
      <w:suppressAutoHyphens/>
      <w:spacing w:after="0" w:line="240" w:lineRule="auto"/>
    </w:pPr>
    <w:rPr>
      <w:rFonts w:ascii="Times New Roman" w:eastAsia="Times New Roman" w:hAnsi="Times New Roman" w:cs="Times New Roman"/>
      <w:kern w:val="0"/>
      <w:sz w:val="24"/>
      <w:szCs w:val="24"/>
      <w:lang w:eastAsia="zh-CN"/>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normale2">
    <w:name w:val="Testo normale2"/>
    <w:basedOn w:val="Normale"/>
    <w:rsid w:val="00FC36F9"/>
    <w:rPr>
      <w:rFonts w:ascii="Courier New" w:hAnsi="Courier New" w:cs="Courier New"/>
      <w:sz w:val="20"/>
      <w:szCs w:val="20"/>
    </w:rPr>
  </w:style>
  <w:style w:type="paragraph" w:styleId="NormaleWeb">
    <w:name w:val="Normal (Web)"/>
    <w:basedOn w:val="Normale"/>
    <w:uiPriority w:val="99"/>
    <w:semiHidden/>
    <w:unhideWhenUsed/>
    <w:rsid w:val="00FC36F9"/>
    <w:pPr>
      <w:suppressAutoHyphens w:val="0"/>
      <w:spacing w:before="100" w:beforeAutospacing="1" w:after="100" w:afterAutospacing="1"/>
    </w:pPr>
    <w:rPr>
      <w:lang w:eastAsia="it-IT"/>
    </w:rPr>
  </w:style>
  <w:style w:type="character" w:styleId="Enfasigrassetto">
    <w:name w:val="Strong"/>
    <w:basedOn w:val="Carpredefinitoparagrafo"/>
    <w:uiPriority w:val="22"/>
    <w:qFormat/>
    <w:rsid w:val="00FC36F9"/>
    <w:rPr>
      <w:b/>
      <w:bCs/>
    </w:rPr>
  </w:style>
  <w:style w:type="character" w:customStyle="1" w:styleId="internal-link">
    <w:name w:val="internal-link"/>
    <w:basedOn w:val="Carpredefinitoparagrafo"/>
    <w:rsid w:val="00FC36F9"/>
  </w:style>
  <w:style w:type="character" w:styleId="Enfasicorsivo">
    <w:name w:val="Emphasis"/>
    <w:basedOn w:val="Carpredefinitoparagrafo"/>
    <w:uiPriority w:val="20"/>
    <w:qFormat/>
    <w:rsid w:val="00FC36F9"/>
    <w:rPr>
      <w:i/>
      <w:iCs/>
    </w:rPr>
  </w:style>
  <w:style w:type="character" w:styleId="Collegamentoipertestuale">
    <w:name w:val="Hyperlink"/>
    <w:basedOn w:val="Carpredefinitoparagrafo"/>
    <w:uiPriority w:val="99"/>
    <w:unhideWhenUsed/>
    <w:rsid w:val="00FC36F9"/>
    <w:rPr>
      <w:color w:val="0000FF" w:themeColor="hyperlink"/>
      <w:u w:val="single"/>
    </w:rPr>
  </w:style>
  <w:style w:type="character" w:styleId="Menzionenonrisolta">
    <w:name w:val="Unresolved Mention"/>
    <w:basedOn w:val="Carpredefinitoparagrafo"/>
    <w:uiPriority w:val="99"/>
    <w:semiHidden/>
    <w:unhideWhenUsed/>
    <w:rsid w:val="00FC36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494739">
      <w:bodyDiv w:val="1"/>
      <w:marLeft w:val="0"/>
      <w:marRight w:val="0"/>
      <w:marTop w:val="0"/>
      <w:marBottom w:val="0"/>
      <w:divBdr>
        <w:top w:val="none" w:sz="0" w:space="0" w:color="auto"/>
        <w:left w:val="none" w:sz="0" w:space="0" w:color="auto"/>
        <w:bottom w:val="none" w:sz="0" w:space="0" w:color="auto"/>
        <w:right w:val="none" w:sz="0" w:space="0" w:color="auto"/>
      </w:divBdr>
      <w:divsChild>
        <w:div w:id="1107427662">
          <w:marLeft w:val="0"/>
          <w:marRight w:val="0"/>
          <w:marTop w:val="0"/>
          <w:marBottom w:val="0"/>
          <w:divBdr>
            <w:top w:val="none" w:sz="0" w:space="0" w:color="auto"/>
            <w:left w:val="none" w:sz="0" w:space="0" w:color="auto"/>
            <w:bottom w:val="none" w:sz="0" w:space="0" w:color="auto"/>
            <w:right w:val="none" w:sz="0" w:space="0" w:color="auto"/>
          </w:divBdr>
          <w:divsChild>
            <w:div w:id="538736393">
              <w:marLeft w:val="0"/>
              <w:marRight w:val="0"/>
              <w:marTop w:val="0"/>
              <w:marBottom w:val="0"/>
              <w:divBdr>
                <w:top w:val="none" w:sz="0" w:space="0" w:color="auto"/>
                <w:left w:val="none" w:sz="0" w:space="0" w:color="auto"/>
                <w:bottom w:val="none" w:sz="0" w:space="0" w:color="auto"/>
                <w:right w:val="none" w:sz="0" w:space="0" w:color="auto"/>
              </w:divBdr>
              <w:divsChild>
                <w:div w:id="271061204">
                  <w:marLeft w:val="0"/>
                  <w:marRight w:val="0"/>
                  <w:marTop w:val="0"/>
                  <w:marBottom w:val="0"/>
                  <w:divBdr>
                    <w:top w:val="none" w:sz="0" w:space="0" w:color="auto"/>
                    <w:left w:val="none" w:sz="0" w:space="0" w:color="auto"/>
                    <w:bottom w:val="none" w:sz="0" w:space="0" w:color="auto"/>
                    <w:right w:val="none" w:sz="0" w:space="0" w:color="auto"/>
                  </w:divBdr>
                  <w:divsChild>
                    <w:div w:id="1585607348">
                      <w:marLeft w:val="0"/>
                      <w:marRight w:val="0"/>
                      <w:marTop w:val="0"/>
                      <w:marBottom w:val="0"/>
                      <w:divBdr>
                        <w:top w:val="none" w:sz="0" w:space="0" w:color="auto"/>
                        <w:left w:val="none" w:sz="0" w:space="0" w:color="auto"/>
                        <w:bottom w:val="none" w:sz="0" w:space="0" w:color="auto"/>
                        <w:right w:val="none" w:sz="0" w:space="0" w:color="auto"/>
                      </w:divBdr>
                      <w:divsChild>
                        <w:div w:id="1874031079">
                          <w:marLeft w:val="0"/>
                          <w:marRight w:val="0"/>
                          <w:marTop w:val="0"/>
                          <w:marBottom w:val="0"/>
                          <w:divBdr>
                            <w:top w:val="none" w:sz="0" w:space="0" w:color="auto"/>
                            <w:left w:val="none" w:sz="0" w:space="0" w:color="auto"/>
                            <w:bottom w:val="none" w:sz="0" w:space="0" w:color="auto"/>
                            <w:right w:val="none" w:sz="0" w:space="0" w:color="auto"/>
                          </w:divBdr>
                          <w:divsChild>
                            <w:div w:id="153834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semblea.emr.it/attivita-1/Servizi-e-uffici/segreteria-affari-legislativi-coord-commissioni/analisi-delle-politiche-pubbliche-e-clausole-valutative/clausole-valutative" TargetMode="External"/><Relationship Id="rId3" Type="http://schemas.openxmlformats.org/officeDocument/2006/relationships/webSettings" Target="webSettings.xml"/><Relationship Id="rId7" Type="http://schemas.openxmlformats.org/officeDocument/2006/relationships/hyperlink" Target="https://www.assemblea.emr.it/attivita-1/Servizi-e-uffici/segreteria-affari-legislativi-coord-commissioni/analisi-delle-politiche-pubbliche-e-clausole-valutativ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ssemblea.emr.it/attivita-1/Servizi-e-uffici/segreteria-affari-legislativi-coord-commissioni/supporto-legislativo/rapporto-sulla-legislazione-della-regione-emilia-romagna"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assemblea.emr.it/attivita-1/Servizi-e-uffici/segreteria-affari-legislativi-coord-commissioni/supporto-legislativo/rapporto-sulla-legislazione-della-regione-emilia-romagn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510</Words>
  <Characters>2912</Characters>
  <Application>Microsoft Office Word</Application>
  <DocSecurity>0</DocSecurity>
  <Lines>24</Lines>
  <Paragraphs>6</Paragraphs>
  <ScaleCrop>false</ScaleCrop>
  <Company>HP</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Rosita Palanga</dc:creator>
  <cp:keywords/>
  <dc:description/>
  <cp:lastModifiedBy>Giulia Rosita Palanga</cp:lastModifiedBy>
  <cp:revision>2</cp:revision>
  <dcterms:created xsi:type="dcterms:W3CDTF">2023-05-27T16:15:00Z</dcterms:created>
  <dcterms:modified xsi:type="dcterms:W3CDTF">2023-05-27T16:23:00Z</dcterms:modified>
</cp:coreProperties>
</file>