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8822" w14:textId="1FE7F52C" w:rsidR="00911A0A" w:rsidRPr="00911A0A" w:rsidRDefault="00911A0A" w:rsidP="00911A0A">
      <w:pPr>
        <w:jc w:val="both"/>
        <w:rPr>
          <w:rStyle w:val="Enfasigrassetto"/>
          <w:rFonts w:asciiTheme="minorHAnsi" w:hAnsiTheme="minorHAnsi" w:cstheme="minorHAnsi"/>
          <w:b w:val="0"/>
          <w:i/>
          <w:sz w:val="16"/>
          <w:szCs w:val="16"/>
        </w:rPr>
      </w:pPr>
      <w:bookmarkStart w:id="0" w:name="_Hlk136618693"/>
      <w:r w:rsidRPr="00911A0A">
        <w:rPr>
          <w:rStyle w:val="Enfasigrassetto"/>
          <w:rFonts w:asciiTheme="minorHAnsi" w:hAnsiTheme="minorHAnsi" w:cstheme="minorHAnsi"/>
          <w:color w:val="C00000"/>
          <w:sz w:val="44"/>
          <w:szCs w:val="44"/>
        </w:rPr>
        <w:t>AN</w:t>
      </w:r>
      <w:r w:rsidRPr="00911A0A">
        <w:rPr>
          <w:rStyle w:val="Enfasigrassetto"/>
          <w:rFonts w:asciiTheme="minorHAnsi" w:hAnsiTheme="minorHAnsi" w:cstheme="minorHAnsi"/>
          <w:color w:val="C00000"/>
          <w:sz w:val="44"/>
          <w:szCs w:val="44"/>
        </w:rPr>
        <w:t>3136</w:t>
      </w:r>
      <w:r w:rsidRPr="00911A0A">
        <w:rPr>
          <w:rStyle w:val="Enfasigrassetto"/>
          <w:rFonts w:asciiTheme="minorHAnsi" w:hAnsiTheme="minorHAnsi" w:cstheme="minorHAnsi"/>
          <w:i/>
          <w:sz w:val="16"/>
          <w:szCs w:val="16"/>
        </w:rPr>
        <w:tab/>
      </w:r>
      <w:r w:rsidRPr="00911A0A">
        <w:rPr>
          <w:rStyle w:val="Enfasigrassetto"/>
          <w:rFonts w:asciiTheme="minorHAnsi" w:hAnsiTheme="minorHAnsi" w:cstheme="minorHAnsi"/>
          <w:i/>
          <w:sz w:val="16"/>
          <w:szCs w:val="16"/>
        </w:rPr>
        <w:tab/>
      </w:r>
      <w:r w:rsidRPr="00911A0A">
        <w:rPr>
          <w:rStyle w:val="Enfasigrassetto"/>
          <w:rFonts w:asciiTheme="minorHAnsi" w:hAnsiTheme="minorHAnsi" w:cstheme="minorHAnsi"/>
          <w:i/>
          <w:sz w:val="16"/>
          <w:szCs w:val="16"/>
        </w:rPr>
        <w:tab/>
      </w:r>
      <w:r w:rsidRPr="00911A0A">
        <w:rPr>
          <w:rStyle w:val="Enfasigrassetto"/>
          <w:rFonts w:asciiTheme="minorHAnsi" w:hAnsiTheme="minorHAnsi" w:cstheme="minorHAnsi"/>
          <w:i/>
          <w:sz w:val="16"/>
          <w:szCs w:val="16"/>
        </w:rPr>
        <w:tab/>
      </w:r>
      <w:r w:rsidRPr="00911A0A">
        <w:rPr>
          <w:rStyle w:val="Enfasigrassetto"/>
          <w:rFonts w:asciiTheme="minorHAnsi" w:hAnsiTheme="minorHAnsi" w:cstheme="minorHAnsi"/>
          <w:i/>
          <w:sz w:val="16"/>
          <w:szCs w:val="16"/>
        </w:rPr>
        <w:tab/>
      </w:r>
      <w:r w:rsidRPr="00911A0A">
        <w:rPr>
          <w:rStyle w:val="Enfasigrassetto"/>
          <w:rFonts w:asciiTheme="minorHAnsi" w:hAnsiTheme="minorHAnsi" w:cstheme="minorHAnsi"/>
          <w:i/>
          <w:sz w:val="16"/>
          <w:szCs w:val="16"/>
        </w:rPr>
        <w:tab/>
      </w:r>
      <w:r w:rsidRPr="00911A0A">
        <w:rPr>
          <w:rStyle w:val="Enfasigrassetto"/>
          <w:rFonts w:asciiTheme="minorHAnsi" w:hAnsiTheme="minorHAnsi" w:cstheme="minorHAnsi"/>
          <w:i/>
          <w:sz w:val="16"/>
          <w:szCs w:val="16"/>
        </w:rPr>
        <w:tab/>
      </w:r>
      <w:r w:rsidRPr="00911A0A">
        <w:rPr>
          <w:rStyle w:val="Enfasigrassetto"/>
          <w:rFonts w:asciiTheme="minorHAnsi" w:hAnsiTheme="minorHAnsi" w:cstheme="minorHAnsi"/>
          <w:i/>
          <w:sz w:val="16"/>
          <w:szCs w:val="16"/>
        </w:rPr>
        <w:tab/>
      </w:r>
      <w:r w:rsidRPr="00911A0A">
        <w:rPr>
          <w:rStyle w:val="Enfasigrassetto"/>
          <w:rFonts w:asciiTheme="minorHAnsi" w:hAnsiTheme="minorHAnsi" w:cstheme="minorHAnsi"/>
          <w:b w:val="0"/>
          <w:i/>
          <w:sz w:val="16"/>
          <w:szCs w:val="16"/>
        </w:rPr>
        <w:t xml:space="preserve">Sceda creata il </w:t>
      </w:r>
      <w:r w:rsidRPr="00911A0A">
        <w:rPr>
          <w:rStyle w:val="Enfasigrassetto"/>
          <w:rFonts w:asciiTheme="minorHAnsi" w:hAnsiTheme="minorHAnsi" w:cstheme="minorHAnsi"/>
          <w:b w:val="0"/>
          <w:i/>
          <w:sz w:val="16"/>
          <w:szCs w:val="16"/>
        </w:rPr>
        <w:t>6 luglio</w:t>
      </w:r>
      <w:r w:rsidRPr="00911A0A">
        <w:rPr>
          <w:rStyle w:val="Enfasigrassetto"/>
          <w:rFonts w:asciiTheme="minorHAnsi" w:hAnsiTheme="minorHAnsi" w:cstheme="minorHAnsi"/>
          <w:b w:val="0"/>
          <w:i/>
          <w:sz w:val="16"/>
          <w:szCs w:val="16"/>
        </w:rPr>
        <w:t xml:space="preserve"> 2023</w:t>
      </w:r>
    </w:p>
    <w:p w14:paraId="7621D908" w14:textId="676D8D61" w:rsidR="009A07A1" w:rsidRDefault="009A07A1" w:rsidP="00F601CE">
      <w:pPr>
        <w:jc w:val="center"/>
        <w:rPr>
          <w:rStyle w:val="Enfasigrassetto"/>
          <w:rFonts w:asciiTheme="minorHAnsi" w:hAnsiTheme="minorHAnsi" w:cstheme="minorHAnsi"/>
          <w:color w:val="C00000"/>
          <w:sz w:val="44"/>
          <w:szCs w:val="44"/>
        </w:rPr>
      </w:pPr>
      <w:r w:rsidRPr="009A07A1">
        <w:drawing>
          <wp:inline distT="0" distB="0" distL="0" distR="0" wp14:anchorId="44155B40" wp14:editId="2B4EDC2A">
            <wp:extent cx="1486800" cy="1980000"/>
            <wp:effectExtent l="0" t="0" r="0" b="1270"/>
            <wp:docPr id="1436787598" name="Immagine 1" descr="Immagine che contiene testo, libro, Caratter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87598" name="Immagine 1" descr="Immagine che contiene testo, libro, Carattere, Pubblicazione&#10;&#10;Descrizione generata automaticamente"/>
                    <pic:cNvPicPr/>
                  </pic:nvPicPr>
                  <pic:blipFill>
                    <a:blip r:embed="rId4"/>
                    <a:stretch>
                      <a:fillRect/>
                    </a:stretch>
                  </pic:blipFill>
                  <pic:spPr>
                    <a:xfrm>
                      <a:off x="0" y="0"/>
                      <a:ext cx="1486800" cy="1980000"/>
                    </a:xfrm>
                    <a:prstGeom prst="rect">
                      <a:avLst/>
                    </a:prstGeom>
                  </pic:spPr>
                </pic:pic>
              </a:graphicData>
            </a:graphic>
          </wp:inline>
        </w:drawing>
      </w:r>
      <w:r w:rsidRPr="009A07A1">
        <w:drawing>
          <wp:inline distT="0" distB="0" distL="0" distR="0" wp14:anchorId="547A4CFD" wp14:editId="704E36F7">
            <wp:extent cx="1278000" cy="1800000"/>
            <wp:effectExtent l="0" t="0" r="0" b="0"/>
            <wp:docPr id="1528919842"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19842" name="Immagine 1" descr="Immagine che contiene testo, schermata, Carattere, design&#10;&#10;Descrizione generata automaticamente"/>
                    <pic:cNvPicPr/>
                  </pic:nvPicPr>
                  <pic:blipFill>
                    <a:blip r:embed="rId5"/>
                    <a:stretch>
                      <a:fillRect/>
                    </a:stretch>
                  </pic:blipFill>
                  <pic:spPr>
                    <a:xfrm>
                      <a:off x="0" y="0"/>
                      <a:ext cx="1278000" cy="1800000"/>
                    </a:xfrm>
                    <a:prstGeom prst="rect">
                      <a:avLst/>
                    </a:prstGeom>
                  </pic:spPr>
                </pic:pic>
              </a:graphicData>
            </a:graphic>
          </wp:inline>
        </w:drawing>
      </w:r>
      <w:r>
        <w:rPr>
          <w:noProof/>
        </w:rPr>
        <w:drawing>
          <wp:inline distT="0" distB="0" distL="0" distR="0" wp14:anchorId="3715E474" wp14:editId="56A24C1D">
            <wp:extent cx="1576800" cy="1980000"/>
            <wp:effectExtent l="0" t="0" r="0" b="1270"/>
            <wp:docPr id="756504819" name="Immagine 1" descr="Rapporto INAPP 2021 - In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orto INAPP 2021 - Inap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6800" cy="1980000"/>
                    </a:xfrm>
                    <a:prstGeom prst="rect">
                      <a:avLst/>
                    </a:prstGeom>
                    <a:noFill/>
                    <a:ln>
                      <a:noFill/>
                    </a:ln>
                  </pic:spPr>
                </pic:pic>
              </a:graphicData>
            </a:graphic>
          </wp:inline>
        </w:drawing>
      </w:r>
      <w:r>
        <w:rPr>
          <w:noProof/>
        </w:rPr>
        <w:drawing>
          <wp:inline distT="0" distB="0" distL="0" distR="0" wp14:anchorId="3557E87F" wp14:editId="37EBE8C9">
            <wp:extent cx="1432800" cy="1800000"/>
            <wp:effectExtent l="0" t="0" r="0" b="0"/>
            <wp:docPr id="2005069381" name="Immagine 2" descr="Immagine che contiene testo, schermata, Marchi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9381" name="Immagine 2" descr="Immagine che contiene testo, schermata, Marchio, log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2800" cy="1800000"/>
                    </a:xfrm>
                    <a:prstGeom prst="rect">
                      <a:avLst/>
                    </a:prstGeom>
                    <a:noFill/>
                    <a:ln>
                      <a:noFill/>
                    </a:ln>
                  </pic:spPr>
                </pic:pic>
              </a:graphicData>
            </a:graphic>
          </wp:inline>
        </w:drawing>
      </w:r>
    </w:p>
    <w:p w14:paraId="4CFD6FC5" w14:textId="3337937C" w:rsidR="00911A0A" w:rsidRPr="00911A0A" w:rsidRDefault="00911A0A" w:rsidP="00911A0A">
      <w:pPr>
        <w:jc w:val="both"/>
        <w:rPr>
          <w:rStyle w:val="Enfasigrassetto"/>
          <w:rFonts w:asciiTheme="minorHAnsi" w:hAnsiTheme="minorHAnsi" w:cstheme="minorHAnsi"/>
          <w:color w:val="C00000"/>
          <w:sz w:val="44"/>
          <w:szCs w:val="44"/>
        </w:rPr>
      </w:pPr>
      <w:r w:rsidRPr="00911A0A">
        <w:rPr>
          <w:rStyle w:val="Enfasigrassetto"/>
          <w:rFonts w:asciiTheme="minorHAnsi" w:hAnsiTheme="minorHAnsi" w:cstheme="minorHAnsi"/>
          <w:color w:val="C00000"/>
          <w:sz w:val="44"/>
          <w:szCs w:val="44"/>
        </w:rPr>
        <w:t>Descrizione storico-bibliografica</w:t>
      </w:r>
    </w:p>
    <w:bookmarkEnd w:id="0"/>
    <w:p w14:paraId="7725BF81" w14:textId="77777777" w:rsidR="00911A0A" w:rsidRPr="00911A0A" w:rsidRDefault="00911A0A" w:rsidP="00911A0A">
      <w:pPr>
        <w:jc w:val="both"/>
        <w:rPr>
          <w:sz w:val="22"/>
          <w:szCs w:val="22"/>
        </w:rPr>
      </w:pPr>
      <w:r w:rsidRPr="00911A0A">
        <w:rPr>
          <w:rFonts w:ascii="Calibri" w:hAnsi="Calibri" w:cs="Calibri"/>
          <w:b/>
          <w:sz w:val="22"/>
          <w:szCs w:val="22"/>
        </w:rPr>
        <w:t>*Rapporto Isfol ... sulla formazione professionale in Italia</w:t>
      </w:r>
      <w:r w:rsidRPr="00911A0A">
        <w:rPr>
          <w:rFonts w:ascii="Calibri" w:hAnsi="Calibri" w:cs="Calibri"/>
          <w:sz w:val="22"/>
          <w:szCs w:val="22"/>
        </w:rPr>
        <w:t xml:space="preserve"> : stato e prospettive dell'offerta e della domanda di lavoro : ripercussioni delle dinamiche occupazionali sulla formazione dei lavoratori e sulle politiche dell'impiego. - 1982-1983. - Milano : F. Angeli, 1983-1984. – 2 volumi ; 22 cm. ((Annuale. - PAR0661315</w:t>
      </w:r>
    </w:p>
    <w:p w14:paraId="6B84971C" w14:textId="77777777" w:rsidR="00911A0A" w:rsidRDefault="00911A0A" w:rsidP="00911A0A">
      <w:pPr>
        <w:jc w:val="both"/>
        <w:rPr>
          <w:rFonts w:ascii="Calibri" w:hAnsi="Calibri" w:cs="Calibri"/>
          <w:b/>
          <w:sz w:val="22"/>
          <w:szCs w:val="22"/>
        </w:rPr>
      </w:pPr>
    </w:p>
    <w:p w14:paraId="0420ED68" w14:textId="1AE01724" w:rsidR="00911A0A" w:rsidRPr="00911A0A" w:rsidRDefault="00911A0A" w:rsidP="00911A0A">
      <w:pPr>
        <w:jc w:val="both"/>
        <w:rPr>
          <w:sz w:val="22"/>
          <w:szCs w:val="22"/>
        </w:rPr>
      </w:pPr>
      <w:r w:rsidRPr="00911A0A">
        <w:rPr>
          <w:rFonts w:ascii="Calibri" w:hAnsi="Calibri" w:cs="Calibri"/>
          <w:b/>
          <w:sz w:val="22"/>
          <w:szCs w:val="22"/>
        </w:rPr>
        <w:t>*Rapporto Isfol</w:t>
      </w:r>
      <w:r w:rsidRPr="00911A0A">
        <w:rPr>
          <w:rFonts w:ascii="Calibri" w:hAnsi="Calibri" w:cs="Calibri"/>
          <w:sz w:val="22"/>
          <w:szCs w:val="22"/>
        </w:rPr>
        <w:t xml:space="preserve"> ... - 1984-</w:t>
      </w:r>
      <w:r>
        <w:rPr>
          <w:rFonts w:ascii="Calibri" w:hAnsi="Calibri" w:cs="Calibri"/>
          <w:sz w:val="22"/>
          <w:szCs w:val="22"/>
        </w:rPr>
        <w:t>2012</w:t>
      </w:r>
      <w:r w:rsidRPr="00911A0A">
        <w:rPr>
          <w:rFonts w:ascii="Calibri" w:hAnsi="Calibri" w:cs="Calibri"/>
          <w:sz w:val="22"/>
          <w:szCs w:val="22"/>
        </w:rPr>
        <w:t>. - Milano : F. Angeli, 1984-</w:t>
      </w:r>
      <w:r>
        <w:rPr>
          <w:rFonts w:ascii="Calibri" w:hAnsi="Calibri" w:cs="Calibri"/>
          <w:sz w:val="22"/>
          <w:szCs w:val="22"/>
        </w:rPr>
        <w:t>2012</w:t>
      </w:r>
      <w:r w:rsidRPr="00911A0A">
        <w:rPr>
          <w:rFonts w:ascii="Calibri" w:hAnsi="Calibri" w:cs="Calibri"/>
          <w:sz w:val="22"/>
          <w:szCs w:val="22"/>
        </w:rPr>
        <w:t xml:space="preserve">. </w:t>
      </w:r>
      <w:r>
        <w:rPr>
          <w:rFonts w:ascii="Calibri" w:hAnsi="Calibri" w:cs="Calibri"/>
          <w:sz w:val="22"/>
          <w:szCs w:val="22"/>
        </w:rPr>
        <w:t>–</w:t>
      </w:r>
      <w:r w:rsidRPr="00911A0A">
        <w:rPr>
          <w:rFonts w:ascii="Calibri" w:hAnsi="Calibri" w:cs="Calibri"/>
          <w:sz w:val="22"/>
          <w:szCs w:val="22"/>
        </w:rPr>
        <w:t xml:space="preserve"> </w:t>
      </w:r>
      <w:r>
        <w:rPr>
          <w:rFonts w:ascii="Calibri" w:hAnsi="Calibri" w:cs="Calibri"/>
          <w:sz w:val="22"/>
          <w:szCs w:val="22"/>
        </w:rPr>
        <w:t xml:space="preserve">29 </w:t>
      </w:r>
      <w:r w:rsidRPr="00911A0A">
        <w:rPr>
          <w:rFonts w:ascii="Calibri" w:hAnsi="Calibri" w:cs="Calibri"/>
          <w:sz w:val="22"/>
          <w:szCs w:val="22"/>
        </w:rPr>
        <w:t>volumi ; 22 cm. ((Annuale. - Il sottotitolo varia. - Poi editore: Soveria Mannelli : Rubbettino. - MIL0170012</w:t>
      </w:r>
    </w:p>
    <w:p w14:paraId="5866723E" w14:textId="77777777" w:rsidR="00911A0A" w:rsidRPr="00911A0A" w:rsidRDefault="00911A0A" w:rsidP="00911A0A">
      <w:pPr>
        <w:jc w:val="both"/>
        <w:rPr>
          <w:sz w:val="22"/>
          <w:szCs w:val="22"/>
        </w:rPr>
      </w:pPr>
      <w:r w:rsidRPr="00911A0A">
        <w:rPr>
          <w:rFonts w:ascii="Calibri" w:hAnsi="Calibri" w:cs="Calibri"/>
          <w:sz w:val="22"/>
          <w:szCs w:val="22"/>
        </w:rPr>
        <w:t>Fa parte di: *Strumenti e ricerche</w:t>
      </w:r>
    </w:p>
    <w:p w14:paraId="6D3999E6" w14:textId="77777777" w:rsidR="00911A0A" w:rsidRPr="00911A0A" w:rsidRDefault="00911A0A" w:rsidP="00911A0A">
      <w:pPr>
        <w:jc w:val="both"/>
        <w:rPr>
          <w:sz w:val="22"/>
          <w:szCs w:val="22"/>
        </w:rPr>
      </w:pPr>
      <w:r w:rsidRPr="00911A0A">
        <w:rPr>
          <w:rFonts w:ascii="Calibri" w:hAnsi="Calibri" w:cs="Calibri"/>
          <w:sz w:val="22"/>
          <w:szCs w:val="22"/>
        </w:rPr>
        <w:t>Autore: Isfol</w:t>
      </w:r>
    </w:p>
    <w:p w14:paraId="738A4292" w14:textId="77777777" w:rsidR="00911A0A" w:rsidRPr="00911A0A" w:rsidRDefault="00911A0A" w:rsidP="00911A0A">
      <w:pPr>
        <w:jc w:val="both"/>
        <w:rPr>
          <w:rFonts w:asciiTheme="minorHAnsi" w:hAnsiTheme="minorHAnsi" w:cstheme="minorHAnsi"/>
          <w:sz w:val="22"/>
          <w:szCs w:val="22"/>
        </w:rPr>
      </w:pPr>
    </w:p>
    <w:p w14:paraId="74D5AD88" w14:textId="333F3E67" w:rsidR="00911A0A" w:rsidRPr="00911A0A" w:rsidRDefault="00911A0A" w:rsidP="00911A0A">
      <w:pPr>
        <w:jc w:val="both"/>
        <w:rPr>
          <w:rFonts w:asciiTheme="minorHAnsi" w:hAnsiTheme="minorHAnsi" w:cstheme="minorHAnsi"/>
          <w:sz w:val="22"/>
          <w:szCs w:val="22"/>
        </w:rPr>
      </w:pPr>
      <w:r w:rsidRPr="00911A0A">
        <w:rPr>
          <w:rFonts w:asciiTheme="minorHAnsi" w:hAnsiTheme="minorHAnsi" w:cstheme="minorHAnsi"/>
          <w:sz w:val="22"/>
          <w:szCs w:val="22"/>
        </w:rPr>
        <w:t>*</w:t>
      </w:r>
      <w:r w:rsidRPr="00911A0A">
        <w:rPr>
          <w:rFonts w:asciiTheme="minorHAnsi" w:hAnsiTheme="minorHAnsi" w:cstheme="minorHAnsi"/>
          <w:b/>
          <w:bCs/>
          <w:sz w:val="22"/>
          <w:szCs w:val="22"/>
        </w:rPr>
        <w:t xml:space="preserve">Rapporto </w:t>
      </w:r>
      <w:r w:rsidRPr="00911A0A">
        <w:rPr>
          <w:rFonts w:asciiTheme="minorHAnsi" w:hAnsiTheme="minorHAnsi" w:cstheme="minorHAnsi"/>
          <w:sz w:val="22"/>
          <w:szCs w:val="22"/>
        </w:rPr>
        <w:t>... / INAPP (Istituto nazionale per l'analisi delle politiche pubbliche). - 2021-</w:t>
      </w:r>
      <w:r>
        <w:rPr>
          <w:rFonts w:asciiTheme="minorHAnsi" w:hAnsiTheme="minorHAnsi" w:cstheme="minorHAnsi"/>
          <w:sz w:val="22"/>
          <w:szCs w:val="22"/>
        </w:rPr>
        <w:t xml:space="preserve">    </w:t>
      </w:r>
      <w:r w:rsidRPr="00911A0A">
        <w:rPr>
          <w:rFonts w:asciiTheme="minorHAnsi" w:hAnsiTheme="minorHAnsi" w:cstheme="minorHAnsi"/>
          <w:sz w:val="22"/>
          <w:szCs w:val="22"/>
        </w:rPr>
        <w:t>. - Soveria Mannelli : Rubbettino, 2021-</w:t>
      </w:r>
      <w:r>
        <w:rPr>
          <w:rFonts w:asciiTheme="minorHAnsi" w:hAnsiTheme="minorHAnsi" w:cstheme="minorHAnsi"/>
          <w:sz w:val="22"/>
          <w:szCs w:val="22"/>
        </w:rPr>
        <w:t xml:space="preserve">    </w:t>
      </w:r>
      <w:r w:rsidRPr="00911A0A">
        <w:rPr>
          <w:rFonts w:asciiTheme="minorHAnsi" w:hAnsiTheme="minorHAnsi" w:cstheme="minorHAnsi"/>
          <w:sz w:val="22"/>
          <w:szCs w:val="22"/>
        </w:rPr>
        <w:t xml:space="preserve">. - volumi ; 24 cm. </w:t>
      </w:r>
      <w:r>
        <w:rPr>
          <w:rFonts w:asciiTheme="minorHAnsi" w:hAnsiTheme="minorHAnsi" w:cstheme="minorHAnsi"/>
          <w:sz w:val="22"/>
          <w:szCs w:val="22"/>
        </w:rPr>
        <w:t>((</w:t>
      </w:r>
      <w:r w:rsidRPr="00911A0A">
        <w:rPr>
          <w:rFonts w:asciiTheme="minorHAnsi" w:hAnsiTheme="minorHAnsi" w:cstheme="minorHAnsi"/>
          <w:sz w:val="22"/>
          <w:szCs w:val="22"/>
        </w:rPr>
        <w:t>Annuale.</w:t>
      </w:r>
      <w:r w:rsidRPr="00911A0A">
        <w:rPr>
          <w:rFonts w:asciiTheme="minorHAnsi" w:hAnsiTheme="minorHAnsi" w:cstheme="minorHAnsi"/>
          <w:sz w:val="22"/>
          <w:szCs w:val="22"/>
        </w:rPr>
        <w:t xml:space="preserve"> - </w:t>
      </w:r>
      <w:r w:rsidRPr="00911A0A">
        <w:rPr>
          <w:rFonts w:asciiTheme="minorHAnsi" w:hAnsiTheme="minorHAnsi" w:cstheme="minorHAnsi"/>
          <w:sz w:val="22"/>
          <w:szCs w:val="22"/>
        </w:rPr>
        <w:t>TSA1786096</w:t>
      </w:r>
    </w:p>
    <w:p w14:paraId="79C688D0" w14:textId="3F9BAE2E" w:rsidR="00911A0A" w:rsidRPr="00911A0A" w:rsidRDefault="00911A0A" w:rsidP="00911A0A">
      <w:pPr>
        <w:jc w:val="both"/>
        <w:rPr>
          <w:rFonts w:asciiTheme="minorHAnsi" w:hAnsiTheme="minorHAnsi" w:cstheme="minorHAnsi"/>
          <w:sz w:val="22"/>
          <w:szCs w:val="22"/>
        </w:rPr>
      </w:pPr>
      <w:r w:rsidRPr="00911A0A">
        <w:rPr>
          <w:rFonts w:asciiTheme="minorHAnsi" w:hAnsiTheme="minorHAnsi" w:cstheme="minorHAnsi"/>
          <w:sz w:val="22"/>
          <w:szCs w:val="22"/>
        </w:rPr>
        <w:t>Titolo della copertina</w:t>
      </w:r>
      <w:r w:rsidRPr="00911A0A">
        <w:rPr>
          <w:rFonts w:asciiTheme="minorHAnsi" w:hAnsiTheme="minorHAnsi" w:cstheme="minorHAnsi"/>
          <w:sz w:val="22"/>
          <w:szCs w:val="22"/>
        </w:rPr>
        <w:t>: *</w:t>
      </w:r>
      <w:r w:rsidRPr="00911A0A">
        <w:rPr>
          <w:rFonts w:asciiTheme="minorHAnsi" w:hAnsiTheme="minorHAnsi" w:cstheme="minorHAnsi"/>
          <w:sz w:val="22"/>
          <w:szCs w:val="22"/>
        </w:rPr>
        <w:t>Rapporto INAPP</w:t>
      </w:r>
    </w:p>
    <w:p w14:paraId="114DA13E" w14:textId="4FF1810B" w:rsidR="00911A0A" w:rsidRPr="00911A0A" w:rsidRDefault="00911A0A" w:rsidP="00911A0A">
      <w:pPr>
        <w:jc w:val="both"/>
        <w:rPr>
          <w:rFonts w:asciiTheme="minorHAnsi" w:hAnsiTheme="minorHAnsi" w:cstheme="minorHAnsi"/>
          <w:sz w:val="22"/>
          <w:szCs w:val="22"/>
        </w:rPr>
      </w:pPr>
      <w:r w:rsidRPr="00911A0A">
        <w:rPr>
          <w:rFonts w:asciiTheme="minorHAnsi" w:hAnsiTheme="minorHAnsi" w:cstheme="minorHAnsi"/>
          <w:sz w:val="22"/>
          <w:szCs w:val="22"/>
        </w:rPr>
        <w:t>Autore: INAPP</w:t>
      </w:r>
    </w:p>
    <w:p w14:paraId="6765610F" w14:textId="77777777" w:rsidR="00911A0A" w:rsidRPr="00911A0A" w:rsidRDefault="00911A0A" w:rsidP="00911A0A">
      <w:pPr>
        <w:jc w:val="both"/>
        <w:rPr>
          <w:rFonts w:asciiTheme="minorHAnsi" w:hAnsiTheme="minorHAnsi" w:cstheme="minorHAnsi"/>
          <w:sz w:val="22"/>
          <w:szCs w:val="22"/>
        </w:rPr>
      </w:pPr>
    </w:p>
    <w:p w14:paraId="55D2038A" w14:textId="446F3810" w:rsidR="00911A0A" w:rsidRPr="00911A0A" w:rsidRDefault="00911A0A" w:rsidP="00911A0A">
      <w:pPr>
        <w:jc w:val="both"/>
        <w:rPr>
          <w:sz w:val="22"/>
          <w:szCs w:val="22"/>
        </w:rPr>
      </w:pPr>
      <w:r w:rsidRPr="00911A0A">
        <w:rPr>
          <w:rFonts w:ascii="Calibri" w:hAnsi="Calibri" w:cs="Calibri"/>
          <w:sz w:val="22"/>
          <w:szCs w:val="22"/>
        </w:rPr>
        <w:t>Soggetto: Formazione professionale - Italia – Periodici</w:t>
      </w:r>
    </w:p>
    <w:p w14:paraId="74DEB00D" w14:textId="77777777" w:rsidR="00911A0A" w:rsidRDefault="00911A0A" w:rsidP="00911A0A">
      <w:pPr>
        <w:jc w:val="both"/>
        <w:rPr>
          <w:rFonts w:ascii="Calibri" w:hAnsi="Calibri" w:cs="Calibri"/>
          <w:sz w:val="22"/>
          <w:szCs w:val="22"/>
        </w:rPr>
      </w:pPr>
      <w:r w:rsidRPr="00911A0A">
        <w:rPr>
          <w:rFonts w:ascii="Calibri" w:hAnsi="Calibri" w:cs="Calibri"/>
          <w:sz w:val="22"/>
          <w:szCs w:val="22"/>
        </w:rPr>
        <w:t>Classe: D331.25920945</w:t>
      </w:r>
    </w:p>
    <w:p w14:paraId="4250273B" w14:textId="77777777" w:rsidR="009A07A1" w:rsidRDefault="009A07A1" w:rsidP="00911A0A">
      <w:pPr>
        <w:jc w:val="both"/>
        <w:rPr>
          <w:rFonts w:ascii="Calibri" w:hAnsi="Calibri" w:cs="Calibri"/>
          <w:sz w:val="22"/>
          <w:szCs w:val="22"/>
        </w:rPr>
      </w:pPr>
    </w:p>
    <w:p w14:paraId="0C8DE98E" w14:textId="6A13A985" w:rsidR="009A07A1" w:rsidRPr="00F601CE" w:rsidRDefault="009A07A1" w:rsidP="00911A0A">
      <w:pPr>
        <w:jc w:val="both"/>
        <w:rPr>
          <w:rFonts w:ascii="Calibri" w:hAnsi="Calibri" w:cs="Calibri"/>
          <w:color w:val="C00000"/>
          <w:sz w:val="44"/>
          <w:szCs w:val="44"/>
        </w:rPr>
      </w:pPr>
      <w:r w:rsidRPr="00F601CE">
        <w:rPr>
          <w:rFonts w:ascii="Calibri" w:hAnsi="Calibri" w:cs="Calibri"/>
          <w:b/>
          <w:bCs/>
          <w:color w:val="C00000"/>
          <w:sz w:val="44"/>
          <w:szCs w:val="44"/>
        </w:rPr>
        <w:t xml:space="preserve">Volumi disponibili in rete </w:t>
      </w:r>
      <w:hyperlink r:id="rId8" w:history="1">
        <w:r w:rsidRPr="00F601CE">
          <w:rPr>
            <w:rStyle w:val="Collegamentoipertestuale"/>
            <w:rFonts w:ascii="Calibri" w:hAnsi="Calibri" w:cs="Calibri"/>
            <w:sz w:val="44"/>
            <w:szCs w:val="44"/>
          </w:rPr>
          <w:t>2008</w:t>
        </w:r>
      </w:hyperlink>
      <w:r w:rsidRPr="00F601CE">
        <w:rPr>
          <w:rFonts w:ascii="Calibri" w:hAnsi="Calibri" w:cs="Calibri"/>
          <w:color w:val="C00000"/>
          <w:sz w:val="44"/>
          <w:szCs w:val="44"/>
        </w:rPr>
        <w:t xml:space="preserve">; </w:t>
      </w:r>
      <w:hyperlink r:id="rId9" w:history="1">
        <w:r w:rsidRPr="00F601CE">
          <w:rPr>
            <w:rStyle w:val="Collegamentoipertestuale"/>
            <w:rFonts w:ascii="Calibri" w:hAnsi="Calibri" w:cs="Calibri"/>
            <w:sz w:val="44"/>
            <w:szCs w:val="44"/>
          </w:rPr>
          <w:t>2012</w:t>
        </w:r>
      </w:hyperlink>
      <w:r w:rsidRPr="00F601CE">
        <w:rPr>
          <w:rFonts w:ascii="Calibri" w:hAnsi="Calibri" w:cs="Calibri"/>
          <w:color w:val="C00000"/>
          <w:sz w:val="44"/>
          <w:szCs w:val="44"/>
        </w:rPr>
        <w:t xml:space="preserve">; </w:t>
      </w:r>
      <w:hyperlink r:id="rId10" w:history="1">
        <w:r w:rsidRPr="00F601CE">
          <w:rPr>
            <w:rStyle w:val="Collegamentoipertestuale"/>
            <w:rFonts w:ascii="Calibri" w:hAnsi="Calibri" w:cs="Calibri"/>
            <w:sz w:val="44"/>
            <w:szCs w:val="44"/>
          </w:rPr>
          <w:t>2021-</w:t>
        </w:r>
      </w:hyperlink>
    </w:p>
    <w:p w14:paraId="06110A7F" w14:textId="77777777" w:rsidR="009A07A1" w:rsidRPr="009A07A1" w:rsidRDefault="009A07A1" w:rsidP="00911A0A">
      <w:pPr>
        <w:jc w:val="both"/>
        <w:rPr>
          <w:rFonts w:ascii="Calibri" w:hAnsi="Calibri" w:cs="Calibri"/>
          <w:color w:val="C00000"/>
          <w:sz w:val="22"/>
          <w:szCs w:val="22"/>
        </w:rPr>
      </w:pPr>
    </w:p>
    <w:p w14:paraId="7FC788CE" w14:textId="2C387284" w:rsidR="009A07A1" w:rsidRPr="00F601CE" w:rsidRDefault="009A07A1" w:rsidP="00911A0A">
      <w:pPr>
        <w:jc w:val="both"/>
        <w:rPr>
          <w:rFonts w:ascii="Calibri" w:hAnsi="Calibri" w:cs="Calibri"/>
          <w:b/>
          <w:bCs/>
          <w:color w:val="C00000"/>
          <w:sz w:val="44"/>
          <w:szCs w:val="44"/>
        </w:rPr>
      </w:pPr>
      <w:r w:rsidRPr="00F601CE">
        <w:rPr>
          <w:rFonts w:ascii="Calibri" w:hAnsi="Calibri" w:cs="Calibri"/>
          <w:b/>
          <w:bCs/>
          <w:color w:val="C00000"/>
          <w:sz w:val="44"/>
          <w:szCs w:val="44"/>
        </w:rPr>
        <w:t>Informazioni storico-bibliografiche</w:t>
      </w:r>
    </w:p>
    <w:p w14:paraId="64EDE625" w14:textId="77777777" w:rsidR="009A07A1" w:rsidRPr="00F601CE" w:rsidRDefault="009A07A1" w:rsidP="00F601CE">
      <w:pPr>
        <w:jc w:val="both"/>
        <w:rPr>
          <w:rFonts w:asciiTheme="minorHAnsi" w:hAnsiTheme="minorHAnsi" w:cstheme="minorHAnsi"/>
          <w:sz w:val="22"/>
          <w:szCs w:val="22"/>
        </w:rPr>
      </w:pPr>
      <w:r w:rsidRPr="00F601CE">
        <w:rPr>
          <w:rStyle w:val="hgkelc"/>
          <w:rFonts w:asciiTheme="minorHAnsi" w:hAnsiTheme="minorHAnsi" w:cstheme="minorHAnsi"/>
          <w:sz w:val="22"/>
          <w:szCs w:val="22"/>
        </w:rPr>
        <w:t>Il Rapporto annuale dell'</w:t>
      </w:r>
      <w:r w:rsidRPr="00F601CE">
        <w:rPr>
          <w:rStyle w:val="jpfdse"/>
          <w:rFonts w:asciiTheme="minorHAnsi" w:hAnsiTheme="minorHAnsi" w:cstheme="minorHAnsi"/>
          <w:sz w:val="22"/>
          <w:szCs w:val="22"/>
        </w:rPr>
        <w:t>Isfol</w:t>
      </w:r>
      <w:r w:rsidRPr="00F601CE">
        <w:rPr>
          <w:rStyle w:val="hgkelc"/>
          <w:rFonts w:asciiTheme="minorHAnsi" w:hAnsiTheme="minorHAnsi" w:cstheme="minorHAnsi"/>
          <w:sz w:val="22"/>
          <w:szCs w:val="22"/>
        </w:rPr>
        <w:t xml:space="preserve"> </w:t>
      </w:r>
      <w:r w:rsidRPr="00F601CE">
        <w:rPr>
          <w:rStyle w:val="hgkelc"/>
          <w:rFonts w:asciiTheme="minorHAnsi" w:hAnsiTheme="minorHAnsi" w:cstheme="minorHAnsi"/>
          <w:b/>
          <w:bCs/>
          <w:sz w:val="22"/>
          <w:szCs w:val="22"/>
        </w:rPr>
        <w:t>fotografa l'evoluzione dei sistemi di istruzione e formazione, del mercato del lavoro e delle politiche sociali italiane inquadrandoli in un contesto europeo</w:t>
      </w:r>
      <w:r w:rsidRPr="00F601CE">
        <w:rPr>
          <w:rStyle w:val="hgkelc"/>
          <w:rFonts w:asciiTheme="minorHAnsi" w:hAnsiTheme="minorHAnsi" w:cstheme="minorHAnsi"/>
          <w:sz w:val="22"/>
          <w:szCs w:val="22"/>
        </w:rPr>
        <w:t>.</w:t>
      </w:r>
      <w:r w:rsidRPr="00F601CE">
        <w:rPr>
          <w:rFonts w:asciiTheme="minorHAnsi" w:hAnsiTheme="minorHAnsi" w:cstheme="minorHAnsi"/>
          <w:sz w:val="22"/>
          <w:szCs w:val="22"/>
        </w:rPr>
        <w:t xml:space="preserve"> </w:t>
      </w:r>
    </w:p>
    <w:p w14:paraId="27CEDDA8" w14:textId="18EF2982" w:rsidR="009A07A1" w:rsidRPr="00F601CE" w:rsidRDefault="009A07A1" w:rsidP="00F601CE">
      <w:pPr>
        <w:jc w:val="both"/>
        <w:rPr>
          <w:rFonts w:asciiTheme="minorHAnsi" w:hAnsiTheme="minorHAnsi" w:cstheme="minorHAnsi"/>
          <w:sz w:val="22"/>
          <w:szCs w:val="22"/>
        </w:rPr>
      </w:pPr>
      <w:hyperlink r:id="rId11" w:history="1">
        <w:r w:rsidRPr="00F601CE">
          <w:rPr>
            <w:rStyle w:val="Collegamentoipertestuale"/>
            <w:rFonts w:asciiTheme="minorHAnsi" w:hAnsiTheme="minorHAnsi" w:cstheme="minorHAnsi"/>
            <w:sz w:val="22"/>
            <w:szCs w:val="22"/>
          </w:rPr>
          <w:t>https://www.google.com/search?q=Rapporto+Isfol+&amp;client=firefox-b-d&amp;sxsrf=AB5stBhYWIuzUi667iEkMLwG5l61Aje_iw%3A1688662620082&amp;ei=XPKmZJTUBNqni-gP2ZK54AU&amp;ved=0ahUKEwiU8vW8xvr_AhXa0wIHHVlJDlwQ4dUDCA4&amp;oq=Rapporto+Isfol+&amp;gs_lcp=Cgxnd3Mtd2l6LXNlcnAQDDIECCMQJzIGCAAQFhAeOgoIABBHENYEELADSgQIQRgAUNYGWLIZYOIraAFwAXgAgAHQAYgB6g2SAQUwLjQuNZgBAKABAcABAcgBBQ&amp;sclient=gws-wiz-serp</w:t>
        </w:r>
      </w:hyperlink>
    </w:p>
    <w:p w14:paraId="3E1AC921" w14:textId="77777777" w:rsidR="009A07A1" w:rsidRPr="00F601CE" w:rsidRDefault="009A07A1" w:rsidP="00F601CE">
      <w:pPr>
        <w:jc w:val="both"/>
        <w:rPr>
          <w:rFonts w:asciiTheme="minorHAnsi" w:hAnsiTheme="minorHAnsi" w:cstheme="minorHAnsi"/>
          <w:sz w:val="22"/>
          <w:szCs w:val="22"/>
        </w:rPr>
      </w:pPr>
    </w:p>
    <w:p w14:paraId="2D936147" w14:textId="15A2F648" w:rsidR="009A07A1" w:rsidRPr="00F601CE" w:rsidRDefault="009A07A1" w:rsidP="00F601CE">
      <w:pPr>
        <w:jc w:val="both"/>
        <w:rPr>
          <w:rFonts w:asciiTheme="minorHAnsi" w:hAnsiTheme="minorHAnsi" w:cstheme="minorHAnsi"/>
          <w:b/>
          <w:bCs/>
          <w:sz w:val="22"/>
          <w:szCs w:val="22"/>
        </w:rPr>
      </w:pPr>
      <w:r w:rsidRPr="00F601CE">
        <w:rPr>
          <w:rFonts w:asciiTheme="minorHAnsi" w:hAnsiTheme="minorHAnsi" w:cstheme="minorHAnsi"/>
          <w:sz w:val="22"/>
          <w:szCs w:val="22"/>
        </w:rPr>
        <w:t>Il </w:t>
      </w:r>
      <w:r w:rsidRPr="00F601CE">
        <w:rPr>
          <w:rStyle w:val="Enfasigrassetto"/>
          <w:rFonts w:asciiTheme="minorHAnsi" w:hAnsiTheme="minorHAnsi" w:cstheme="minorHAnsi"/>
          <w:sz w:val="22"/>
          <w:szCs w:val="22"/>
        </w:rPr>
        <w:t>Rapporto INAPP 2021</w:t>
      </w:r>
      <w:r w:rsidRPr="00F601CE">
        <w:rPr>
          <w:rFonts w:asciiTheme="minorHAnsi" w:hAnsiTheme="minorHAnsi" w:cstheme="minorHAnsi"/>
          <w:sz w:val="22"/>
          <w:szCs w:val="22"/>
        </w:rPr>
        <w:t xml:space="preserve">, presentato il 16 luglio a Montecitorio presso la Sala della Regina, è il primo dell’Istituto nazionale per l’analisi delle politiche pubbliche, ma riprende la tradizione decennale dell’Isfol. Il Rapporto traccia le trasformazioni in corso nel mercato del lavoro e nei sistemi della formazione professionale a fronte dei macro-trend globali di cambiamento dei sistemi economici, con spunti di riflessione sull’interazione tra tali processi e lo shock pandemico, e descrive dinamiche e scenari evolutivi di medio periodo relativi al mondo del lavoro, della formazione e della società per i quali, nella prospettiva di </w:t>
      </w:r>
      <w:r w:rsidRPr="00F601CE">
        <w:rPr>
          <w:rFonts w:asciiTheme="minorHAnsi" w:hAnsiTheme="minorHAnsi" w:cstheme="minorHAnsi"/>
          <w:sz w:val="22"/>
          <w:szCs w:val="22"/>
        </w:rPr>
        <w:lastRenderedPageBreak/>
        <w:t>analisi dell’Istituto, sembra esservi maggior bisogno di interventi da parte dei decisori politici, per affrontare adeguatamente sia le presenti emergenze congiunturali, sia le criticità strutturali. Negli ultimi mesi il </w:t>
      </w:r>
      <w:r w:rsidRPr="00F601CE">
        <w:rPr>
          <w:rStyle w:val="Enfasigrassetto"/>
          <w:rFonts w:asciiTheme="minorHAnsi" w:hAnsiTheme="minorHAnsi" w:cstheme="minorHAnsi"/>
          <w:sz w:val="22"/>
          <w:szCs w:val="22"/>
        </w:rPr>
        <w:t>mondo del lavoro</w:t>
      </w:r>
      <w:r w:rsidRPr="00F601CE">
        <w:rPr>
          <w:rFonts w:asciiTheme="minorHAnsi" w:hAnsiTheme="minorHAnsi" w:cstheme="minorHAnsi"/>
          <w:sz w:val="22"/>
          <w:szCs w:val="22"/>
        </w:rPr>
        <w:t> ha subito una sorta di ‘stress test’ che ha messo in evidenza criticità e debolezze strutturali, aprendo profonde ferite non ancora cicatrizzate. Tra le ferite si registrano le difficoltà, e spesso la chiusura, di diverse unità produttive; i licenziamenti, i mancati rinnovi dei contratti a termine e le difficoltà del lavoro autonomo; la caduta del </w:t>
      </w:r>
      <w:r w:rsidRPr="00F601CE">
        <w:rPr>
          <w:rStyle w:val="Enfasigrassetto"/>
          <w:rFonts w:asciiTheme="minorHAnsi" w:hAnsiTheme="minorHAnsi" w:cstheme="minorHAnsi"/>
          <w:sz w:val="22"/>
          <w:szCs w:val="22"/>
        </w:rPr>
        <w:t>reddito da lavoro </w:t>
      </w:r>
      <w:r w:rsidRPr="00F601CE">
        <w:rPr>
          <w:rFonts w:asciiTheme="minorHAnsi" w:hAnsiTheme="minorHAnsi" w:cstheme="minorHAnsi"/>
          <w:sz w:val="22"/>
          <w:szCs w:val="22"/>
        </w:rPr>
        <w:t>(anche da lavoro atipico) per larghe fasce della popolazione, cui si è sopperito con sostegni di emergenza in aggiunta al pilastro del </w:t>
      </w:r>
      <w:r w:rsidRPr="00F601CE">
        <w:rPr>
          <w:rStyle w:val="Enfasigrassetto"/>
          <w:rFonts w:asciiTheme="minorHAnsi" w:hAnsiTheme="minorHAnsi" w:cstheme="minorHAnsi"/>
          <w:sz w:val="22"/>
          <w:szCs w:val="22"/>
        </w:rPr>
        <w:t>Reddito di Cittadinanza</w:t>
      </w:r>
      <w:r w:rsidRPr="00F601CE">
        <w:rPr>
          <w:rFonts w:asciiTheme="minorHAnsi" w:hAnsiTheme="minorHAnsi" w:cstheme="minorHAnsi"/>
          <w:sz w:val="22"/>
          <w:szCs w:val="22"/>
        </w:rPr>
        <w:t>; l’accentuazione dei problemi nella </w:t>
      </w:r>
      <w:r w:rsidRPr="00F601CE">
        <w:rPr>
          <w:rStyle w:val="Enfasigrassetto"/>
          <w:rFonts w:asciiTheme="minorHAnsi" w:hAnsiTheme="minorHAnsi" w:cstheme="minorHAnsi"/>
          <w:sz w:val="22"/>
          <w:szCs w:val="22"/>
        </w:rPr>
        <w:t>prospettiva di genere</w:t>
      </w:r>
      <w:r w:rsidRPr="00F601CE">
        <w:rPr>
          <w:rFonts w:asciiTheme="minorHAnsi" w:hAnsiTheme="minorHAnsi" w:cstheme="minorHAnsi"/>
          <w:sz w:val="22"/>
          <w:szCs w:val="22"/>
        </w:rPr>
        <w:t> e dell’inserimento lavorativo della popolazione giovanile. Ma la crisi legata alla pandemia ha intaccato anche la dimensione del vivere sociale: i</w:t>
      </w:r>
      <w:r w:rsidRPr="00F601CE">
        <w:rPr>
          <w:rStyle w:val="Enfasigrassetto"/>
          <w:rFonts w:asciiTheme="minorHAnsi" w:hAnsiTheme="minorHAnsi" w:cstheme="minorHAnsi"/>
          <w:sz w:val="22"/>
          <w:szCs w:val="22"/>
        </w:rPr>
        <w:t> processi educativi</w:t>
      </w:r>
      <w:r w:rsidRPr="00F601CE">
        <w:rPr>
          <w:rFonts w:asciiTheme="minorHAnsi" w:hAnsiTheme="minorHAnsi" w:cstheme="minorHAnsi"/>
          <w:sz w:val="22"/>
          <w:szCs w:val="22"/>
        </w:rPr>
        <w:t> per tutte le età hanno subìto torsioni spesso con conseguenze negative, i rapporti interpersonali, quando non interrotti dagli esiti letali dei contagi, sono stati sottoposti a tensioni che hanno colpito specialmente i soggetti costretti a condurre nuove forme di convivenza e di lavoro in condizioni di emarginazione sociale e di disagio abitativo; i </w:t>
      </w:r>
      <w:r w:rsidRPr="00F601CE">
        <w:rPr>
          <w:rStyle w:val="Enfasigrassetto"/>
          <w:rFonts w:asciiTheme="minorHAnsi" w:hAnsiTheme="minorHAnsi" w:cstheme="minorHAnsi"/>
          <w:sz w:val="22"/>
          <w:szCs w:val="22"/>
        </w:rPr>
        <w:t>disabili</w:t>
      </w:r>
      <w:r w:rsidRPr="00F601CE">
        <w:rPr>
          <w:rFonts w:asciiTheme="minorHAnsi" w:hAnsiTheme="minorHAnsi" w:cstheme="minorHAnsi"/>
          <w:sz w:val="22"/>
          <w:szCs w:val="22"/>
        </w:rPr>
        <w:t> e le persone bisognevoli di assistenza medica hanno spesso dovuto affrontare lunghi periodi di isolamento e di paura. La possibilità di realizzare un sistema organico di interventi è però oggi accresciuta dalla presenza delle risorse del </w:t>
      </w:r>
      <w:r w:rsidRPr="00F601CE">
        <w:rPr>
          <w:rStyle w:val="Enfasigrassetto"/>
          <w:rFonts w:asciiTheme="minorHAnsi" w:hAnsiTheme="minorHAnsi" w:cstheme="minorHAnsi"/>
          <w:sz w:val="22"/>
          <w:szCs w:val="22"/>
        </w:rPr>
        <w:t>Piano nazionale di ripresa e resilienza (PNRR), </w:t>
      </w:r>
      <w:r w:rsidRPr="00F601CE">
        <w:rPr>
          <w:rFonts w:asciiTheme="minorHAnsi" w:hAnsiTheme="minorHAnsi" w:cstheme="minorHAnsi"/>
          <w:sz w:val="22"/>
          <w:szCs w:val="22"/>
        </w:rPr>
        <w:t>da non sprecare, per poter ricomporre quelle lacerazioni che hanno rivelato criticità strutturali già presenti nel sistema, ma per lungo tempo ignorate o non adeguatamente affrontate.</w:t>
      </w:r>
    </w:p>
    <w:p w14:paraId="69FD157C" w14:textId="44059512" w:rsidR="0031062F" w:rsidRPr="00F601CE" w:rsidRDefault="009A07A1" w:rsidP="00F601CE">
      <w:pPr>
        <w:jc w:val="both"/>
        <w:rPr>
          <w:rFonts w:asciiTheme="minorHAnsi" w:hAnsiTheme="minorHAnsi" w:cstheme="minorHAnsi"/>
          <w:sz w:val="22"/>
          <w:szCs w:val="22"/>
        </w:rPr>
      </w:pPr>
      <w:hyperlink r:id="rId12" w:history="1">
        <w:r w:rsidRPr="00F601CE">
          <w:rPr>
            <w:rStyle w:val="Collegamentoipertestuale"/>
            <w:rFonts w:asciiTheme="minorHAnsi" w:hAnsiTheme="minorHAnsi" w:cstheme="minorHAnsi"/>
            <w:sz w:val="22"/>
            <w:szCs w:val="22"/>
          </w:rPr>
          <w:t>https://www.inapp.gov.it/pubblicazioni/rapporto/edizioni-pubblicate/rapporto-inapp-2021</w:t>
        </w:r>
      </w:hyperlink>
    </w:p>
    <w:p w14:paraId="61293764" w14:textId="77777777" w:rsidR="009A07A1" w:rsidRPr="00F601CE" w:rsidRDefault="009A07A1" w:rsidP="00F601CE">
      <w:pPr>
        <w:jc w:val="both"/>
        <w:rPr>
          <w:rFonts w:asciiTheme="minorHAnsi" w:hAnsiTheme="minorHAnsi" w:cstheme="minorHAnsi"/>
          <w:sz w:val="22"/>
          <w:szCs w:val="22"/>
        </w:rPr>
      </w:pPr>
    </w:p>
    <w:p w14:paraId="765E0AB3" w14:textId="77777777" w:rsidR="009A07A1" w:rsidRPr="00F601CE" w:rsidRDefault="009A07A1" w:rsidP="00F601CE">
      <w:pPr>
        <w:pStyle w:val="NormaleWeb"/>
        <w:spacing w:before="0" w:beforeAutospacing="0" w:after="0" w:afterAutospacing="0"/>
        <w:jc w:val="both"/>
        <w:rPr>
          <w:rFonts w:asciiTheme="minorHAnsi" w:hAnsiTheme="minorHAnsi" w:cstheme="minorHAnsi"/>
          <w:sz w:val="22"/>
          <w:szCs w:val="22"/>
        </w:rPr>
      </w:pPr>
      <w:r w:rsidRPr="00F601CE">
        <w:rPr>
          <w:rStyle w:val="Enfasigrassetto"/>
          <w:rFonts w:asciiTheme="minorHAnsi" w:hAnsiTheme="minorHAnsi" w:cstheme="minorHAnsi"/>
          <w:sz w:val="22"/>
          <w:szCs w:val="22"/>
        </w:rPr>
        <w:t>Rapporto INAPP 2022</w:t>
      </w:r>
    </w:p>
    <w:p w14:paraId="223DA050" w14:textId="77777777" w:rsidR="00F601CE" w:rsidRDefault="009A07A1" w:rsidP="00F601CE">
      <w:pPr>
        <w:pStyle w:val="NormaleWeb"/>
        <w:spacing w:before="0" w:beforeAutospacing="0" w:after="0" w:afterAutospacing="0"/>
        <w:jc w:val="both"/>
        <w:rPr>
          <w:rFonts w:asciiTheme="minorHAnsi" w:hAnsiTheme="minorHAnsi" w:cstheme="minorHAnsi"/>
          <w:sz w:val="22"/>
          <w:szCs w:val="22"/>
        </w:rPr>
      </w:pPr>
      <w:r w:rsidRPr="00F601CE">
        <w:rPr>
          <w:rFonts w:asciiTheme="minorHAnsi" w:hAnsiTheme="minorHAnsi" w:cstheme="minorHAnsi"/>
          <w:sz w:val="22"/>
          <w:szCs w:val="22"/>
        </w:rPr>
        <w:t>A seguito dell’emergenza sanitaria, che ha stravolto il sistema economico e sociale del nostro Paese, riaffiorano gli scogli di un mercato del lavoro in cui l’occupazione sembra essersi incagliata da anni. Malgrado la spinta delle nuove tecnologie e delle nuove modalità organizzative, restano i nodi di un’occupazione sempre più atipica e con sofferenze retributive. Un supporto potrebbe venire dalla formazione, che mostra una ricca offerta di percorsi, cui tuttavia non corrisponde una altrettanto forte partecipazione, mentre le competenze stentano ad allinearsi alle esigenze produttive. In tale contesto, le categorie più deboli restano più esposte al rischio crescente di disagio e povertà, mentre aumentano le disuguaglianze e si manifesta la necessità di un aggiornamento dei sistemi di welfare. A questo si aggiunge una congiuntura eccezionalmente sfavorevole che va a incidere su debolezze ormai croniche e dove emerge chiara l’urgenza di interventi mirati e strutturali.</w:t>
      </w:r>
    </w:p>
    <w:p w14:paraId="10CD7382" w14:textId="635C5A85" w:rsidR="009A07A1" w:rsidRPr="00F601CE" w:rsidRDefault="009A07A1" w:rsidP="00F601CE">
      <w:pPr>
        <w:pStyle w:val="NormaleWeb"/>
        <w:spacing w:before="0" w:beforeAutospacing="0" w:after="0" w:afterAutospacing="0"/>
        <w:jc w:val="both"/>
        <w:rPr>
          <w:rFonts w:asciiTheme="minorHAnsi" w:hAnsiTheme="minorHAnsi" w:cstheme="minorHAnsi"/>
          <w:sz w:val="22"/>
          <w:szCs w:val="22"/>
        </w:rPr>
      </w:pPr>
      <w:hyperlink r:id="rId13" w:history="1">
        <w:r w:rsidRPr="00F601CE">
          <w:rPr>
            <w:rStyle w:val="Collegamentoipertestuale"/>
            <w:rFonts w:asciiTheme="minorHAnsi" w:hAnsiTheme="minorHAnsi" w:cstheme="minorHAnsi"/>
            <w:sz w:val="22"/>
            <w:szCs w:val="22"/>
          </w:rPr>
          <w:t>Consulta il Rapporto INAPP 2022</w:t>
        </w:r>
      </w:hyperlink>
    </w:p>
    <w:p w14:paraId="56B830D2" w14:textId="6F6617FF" w:rsidR="009A07A1" w:rsidRPr="00F601CE" w:rsidRDefault="009A07A1" w:rsidP="00F601CE">
      <w:pPr>
        <w:jc w:val="both"/>
        <w:rPr>
          <w:rFonts w:asciiTheme="minorHAnsi" w:hAnsiTheme="minorHAnsi" w:cstheme="minorHAnsi"/>
          <w:sz w:val="22"/>
          <w:szCs w:val="22"/>
        </w:rPr>
      </w:pPr>
      <w:hyperlink r:id="rId14" w:history="1">
        <w:r w:rsidRPr="00F601CE">
          <w:rPr>
            <w:rStyle w:val="Collegamentoipertestuale"/>
            <w:rFonts w:asciiTheme="minorHAnsi" w:hAnsiTheme="minorHAnsi" w:cstheme="minorHAnsi"/>
            <w:sz w:val="22"/>
            <w:szCs w:val="22"/>
          </w:rPr>
          <w:t>https://www.inapp.gov.it/pubblicazioni/rapporto/edizioni-pubblicate</w:t>
        </w:r>
      </w:hyperlink>
    </w:p>
    <w:p w14:paraId="0A339159" w14:textId="77777777" w:rsidR="009A07A1" w:rsidRPr="00F601CE" w:rsidRDefault="009A07A1" w:rsidP="00F601CE">
      <w:pPr>
        <w:jc w:val="both"/>
        <w:rPr>
          <w:rFonts w:asciiTheme="minorHAnsi" w:hAnsiTheme="minorHAnsi" w:cstheme="minorHAnsi"/>
          <w:sz w:val="22"/>
          <w:szCs w:val="22"/>
        </w:rPr>
      </w:pPr>
    </w:p>
    <w:sectPr w:rsidR="009A07A1" w:rsidRPr="00F601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5C96"/>
    <w:rsid w:val="002D5C96"/>
    <w:rsid w:val="0031062F"/>
    <w:rsid w:val="00911A0A"/>
    <w:rsid w:val="009A07A1"/>
    <w:rsid w:val="00E84EF4"/>
    <w:rsid w:val="00F60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3499"/>
  <w15:chartTrackingRefBased/>
  <w15:docId w15:val="{5423A80E-3907-4991-9190-A775C330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1A0A"/>
    <w:pPr>
      <w:suppressAutoHyphens/>
      <w:spacing w:after="0" w:line="240" w:lineRule="auto"/>
    </w:pPr>
    <w:rPr>
      <w:rFonts w:ascii="Times New Roman" w:eastAsia="Calibri"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911A0A"/>
    <w:rPr>
      <w:b/>
      <w:bCs/>
    </w:rPr>
  </w:style>
  <w:style w:type="character" w:styleId="Collegamentoipertestuale">
    <w:name w:val="Hyperlink"/>
    <w:basedOn w:val="Carpredefinitoparagrafo"/>
    <w:uiPriority w:val="99"/>
    <w:unhideWhenUsed/>
    <w:rsid w:val="009A07A1"/>
    <w:rPr>
      <w:color w:val="0000FF" w:themeColor="hyperlink"/>
      <w:u w:val="single"/>
    </w:rPr>
  </w:style>
  <w:style w:type="character" w:styleId="Menzionenonrisolta">
    <w:name w:val="Unresolved Mention"/>
    <w:basedOn w:val="Carpredefinitoparagrafo"/>
    <w:uiPriority w:val="99"/>
    <w:semiHidden/>
    <w:unhideWhenUsed/>
    <w:rsid w:val="009A07A1"/>
    <w:rPr>
      <w:color w:val="605E5C"/>
      <w:shd w:val="clear" w:color="auto" w:fill="E1DFDD"/>
    </w:rPr>
  </w:style>
  <w:style w:type="paragraph" w:styleId="NormaleWeb">
    <w:name w:val="Normal (Web)"/>
    <w:basedOn w:val="Normale"/>
    <w:uiPriority w:val="99"/>
    <w:semiHidden/>
    <w:unhideWhenUsed/>
    <w:rsid w:val="009A07A1"/>
    <w:pPr>
      <w:suppressAutoHyphens w:val="0"/>
      <w:spacing w:before="100" w:beforeAutospacing="1" w:after="100" w:afterAutospacing="1"/>
    </w:pPr>
    <w:rPr>
      <w:rFonts w:eastAsia="Times New Roman"/>
      <w:lang w:eastAsia="it-IT"/>
    </w:rPr>
  </w:style>
  <w:style w:type="character" w:customStyle="1" w:styleId="hgkelc">
    <w:name w:val="hgkelc"/>
    <w:basedOn w:val="Carpredefinitoparagrafo"/>
    <w:rsid w:val="009A07A1"/>
  </w:style>
  <w:style w:type="character" w:customStyle="1" w:styleId="jpfdse">
    <w:name w:val="jpfdse"/>
    <w:basedOn w:val="Carpredefinitoparagrafo"/>
    <w:rsid w:val="009A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337">
      <w:bodyDiv w:val="1"/>
      <w:marLeft w:val="0"/>
      <w:marRight w:val="0"/>
      <w:marTop w:val="0"/>
      <w:marBottom w:val="0"/>
      <w:divBdr>
        <w:top w:val="none" w:sz="0" w:space="0" w:color="auto"/>
        <w:left w:val="none" w:sz="0" w:space="0" w:color="auto"/>
        <w:bottom w:val="none" w:sz="0" w:space="0" w:color="auto"/>
        <w:right w:val="none" w:sz="0" w:space="0" w:color="auto"/>
      </w:divBdr>
    </w:div>
    <w:div w:id="1478912686">
      <w:bodyDiv w:val="1"/>
      <w:marLeft w:val="0"/>
      <w:marRight w:val="0"/>
      <w:marTop w:val="0"/>
      <w:marBottom w:val="0"/>
      <w:divBdr>
        <w:top w:val="none" w:sz="0" w:space="0" w:color="auto"/>
        <w:left w:val="none" w:sz="0" w:space="0" w:color="auto"/>
        <w:bottom w:val="none" w:sz="0" w:space="0" w:color="auto"/>
        <w:right w:val="none" w:sz="0" w:space="0" w:color="auto"/>
      </w:divBdr>
      <w:divsChild>
        <w:div w:id="109177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lettinoadapt.it/old/files/document/657RAPPORTO_ISFOL_2.pdf" TargetMode="External"/><Relationship Id="rId13" Type="http://schemas.openxmlformats.org/officeDocument/2006/relationships/hyperlink" Target="https://www.inapp.gov.it/pubblicazioni/rapporto/edizioni-pubblicate/rapporto-inapp-2022/"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inapp.gov.it/pubblicazioni/rapporto/edizioni-pubblicate/rapporto-inapp-202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google.com/search?q=Rapporto+Isfol+&amp;client=firefox-b-d&amp;sxsrf=AB5stBhYWIuzUi667iEkMLwG5l61Aje_iw%3A1688662620082&amp;ei=XPKmZJTUBNqni-gP2ZK54AU&amp;ved=0ahUKEwiU8vW8xvr_AhXa0wIHHVlJDlwQ4dUDCA4&amp;oq=Rapporto+Isfol+&amp;gs_lcp=Cgxnd3Mtd2l6LXNlcnAQDDIECCMQJzIGCAAQFhAeOgoIABBHENYEELADSgQIQRgAUNYGWLIZYOIraAFwAXgAgAHQAYgB6g2SAQUwLjQuNZgBAKABAcABAcgBBQ&amp;sclient=gws-wiz-serp"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www.inapp.gov.it/pubblicazioni/rapporto/edizioni-pubblicate" TargetMode="External"/><Relationship Id="rId4" Type="http://schemas.openxmlformats.org/officeDocument/2006/relationships/image" Target="media/image1.png"/><Relationship Id="rId9" Type="http://schemas.openxmlformats.org/officeDocument/2006/relationships/hyperlink" Target="https://www.orientamentoirreer.it/sites/default/files/materiali/2012%20Rapporto%20ISFOL%202012%20sintesi.pdf" TargetMode="External"/><Relationship Id="rId14" Type="http://schemas.openxmlformats.org/officeDocument/2006/relationships/hyperlink" Target="https://www.inapp.gov.it/pubblicazioni/rapporto/edizioni-pubblica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927</Words>
  <Characters>5284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2023-07-06T16:50:00Z</dcterms:created>
  <dcterms:modified xsi:type="dcterms:W3CDTF">2023-07-06T17:13:00Z</dcterms:modified>
</cp:coreProperties>
</file>