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6C0F" w14:textId="3E7D5CA1" w:rsidR="00624AA7" w:rsidRPr="00624AA7" w:rsidRDefault="00624AA7" w:rsidP="00624AA7">
      <w:pPr>
        <w:spacing w:after="0" w:line="240" w:lineRule="auto"/>
        <w:jc w:val="both"/>
        <w:rPr>
          <w:rFonts w:cstheme="minorHAnsi"/>
          <w:bCs/>
          <w:i/>
          <w:iCs/>
          <w:sz w:val="16"/>
          <w:szCs w:val="16"/>
        </w:rPr>
      </w:pPr>
      <w:r w:rsidRPr="00624AA7">
        <w:rPr>
          <w:rFonts w:cstheme="minorHAnsi"/>
          <w:b/>
          <w:color w:val="C00000"/>
          <w:sz w:val="44"/>
          <w:szCs w:val="44"/>
        </w:rPr>
        <w:t>XX191</w:t>
      </w:r>
      <w:r w:rsidRPr="00624AA7">
        <w:rPr>
          <w:rFonts w:cstheme="minorHAnsi"/>
          <w:b/>
          <w:sz w:val="44"/>
          <w:szCs w:val="44"/>
        </w:rPr>
        <w:tab/>
      </w:r>
      <w:r w:rsidRPr="00624AA7">
        <w:rPr>
          <w:rFonts w:cstheme="minorHAnsi"/>
          <w:b/>
          <w:sz w:val="16"/>
          <w:szCs w:val="16"/>
        </w:rPr>
        <w:tab/>
      </w:r>
      <w:r w:rsidRPr="00624AA7">
        <w:rPr>
          <w:rFonts w:cstheme="minorHAnsi"/>
          <w:b/>
          <w:sz w:val="16"/>
          <w:szCs w:val="16"/>
        </w:rPr>
        <w:tab/>
      </w:r>
      <w:r w:rsidRPr="00624AA7">
        <w:rPr>
          <w:rFonts w:cstheme="minorHAnsi"/>
          <w:b/>
          <w:sz w:val="16"/>
          <w:szCs w:val="16"/>
        </w:rPr>
        <w:tab/>
      </w:r>
      <w:r w:rsidRPr="00624AA7">
        <w:rPr>
          <w:rFonts w:cstheme="minorHAnsi"/>
          <w:b/>
          <w:sz w:val="16"/>
          <w:szCs w:val="16"/>
        </w:rPr>
        <w:tab/>
      </w:r>
      <w:r w:rsidRPr="00624AA7">
        <w:rPr>
          <w:rFonts w:cstheme="minorHAnsi"/>
          <w:b/>
          <w:sz w:val="16"/>
          <w:szCs w:val="16"/>
        </w:rPr>
        <w:tab/>
      </w:r>
      <w:r w:rsidRPr="00624AA7">
        <w:rPr>
          <w:rFonts w:cstheme="minorHAnsi"/>
          <w:b/>
          <w:sz w:val="16"/>
          <w:szCs w:val="16"/>
        </w:rPr>
        <w:tab/>
      </w:r>
      <w:r w:rsidRPr="00624AA7">
        <w:rPr>
          <w:rFonts w:cstheme="minorHAnsi"/>
          <w:b/>
          <w:sz w:val="16"/>
          <w:szCs w:val="16"/>
        </w:rPr>
        <w:tab/>
      </w:r>
      <w:r w:rsidRPr="00624AA7">
        <w:rPr>
          <w:rFonts w:cstheme="minorHAnsi"/>
          <w:b/>
          <w:sz w:val="16"/>
          <w:szCs w:val="16"/>
        </w:rPr>
        <w:tab/>
      </w:r>
      <w:r w:rsidRPr="00624AA7">
        <w:rPr>
          <w:rFonts w:cstheme="minorHAnsi"/>
          <w:bCs/>
          <w:i/>
          <w:iCs/>
          <w:sz w:val="16"/>
          <w:szCs w:val="16"/>
        </w:rPr>
        <w:t>scheda creata il 13 luglio 2023</w:t>
      </w:r>
    </w:p>
    <w:p w14:paraId="104D62E8" w14:textId="3C71C7C7" w:rsidR="00624AA7" w:rsidRPr="00624AA7" w:rsidRDefault="00624AA7" w:rsidP="00624AA7">
      <w:pPr>
        <w:spacing w:after="0" w:line="240" w:lineRule="auto"/>
        <w:jc w:val="both"/>
        <w:rPr>
          <w:rFonts w:cstheme="minorHAnsi"/>
          <w:b/>
          <w:color w:val="C00000"/>
          <w:sz w:val="44"/>
          <w:szCs w:val="44"/>
        </w:rPr>
      </w:pPr>
      <w:r w:rsidRPr="00624AA7">
        <w:rPr>
          <w:rFonts w:cstheme="minorHAnsi"/>
          <w:b/>
          <w:color w:val="C00000"/>
          <w:sz w:val="44"/>
          <w:szCs w:val="44"/>
        </w:rPr>
        <w:t>Descrizione bibliografica</w:t>
      </w:r>
    </w:p>
    <w:p w14:paraId="147AF81A" w14:textId="7F681F94" w:rsidR="0031062F" w:rsidRPr="00624AA7" w:rsidRDefault="00624AA7" w:rsidP="00624AA7">
      <w:pPr>
        <w:spacing w:after="0" w:line="240" w:lineRule="auto"/>
        <w:jc w:val="both"/>
        <w:rPr>
          <w:rFonts w:cstheme="minorHAnsi"/>
        </w:rPr>
      </w:pPr>
      <w:r w:rsidRPr="00624AA7">
        <w:rPr>
          <w:rFonts w:cstheme="minorHAnsi"/>
        </w:rPr>
        <w:t>*</w:t>
      </w:r>
      <w:r w:rsidRPr="00624AA7">
        <w:rPr>
          <w:rFonts w:cstheme="minorHAnsi"/>
          <w:b/>
          <w:bCs/>
        </w:rPr>
        <w:t xml:space="preserve">Quaderni del </w:t>
      </w:r>
      <w:proofErr w:type="gramStart"/>
      <w:r w:rsidRPr="00624AA7">
        <w:rPr>
          <w:rFonts w:cstheme="minorHAnsi"/>
          <w:b/>
          <w:bCs/>
        </w:rPr>
        <w:t>Pedagogico</w:t>
      </w:r>
      <w:r w:rsidRPr="00624AA7">
        <w:rPr>
          <w:rFonts w:cstheme="minorHAnsi"/>
        </w:rPr>
        <w:t xml:space="preserve"> :</w:t>
      </w:r>
      <w:proofErr w:type="gramEnd"/>
      <w:r w:rsidRPr="00624AA7">
        <w:rPr>
          <w:rFonts w:cstheme="minorHAnsi"/>
        </w:rPr>
        <w:t xml:space="preserve"> la lezione del Novecento. </w:t>
      </w:r>
      <w:r w:rsidRPr="00624AA7">
        <w:rPr>
          <w:rFonts w:cstheme="minorHAnsi"/>
        </w:rPr>
        <w:t>–</w:t>
      </w:r>
      <w:r w:rsidRPr="00624AA7">
        <w:rPr>
          <w:rFonts w:cstheme="minorHAnsi"/>
        </w:rPr>
        <w:t xml:space="preserve"> </w:t>
      </w:r>
      <w:r w:rsidRPr="00624AA7">
        <w:rPr>
          <w:rFonts w:cstheme="minorHAnsi"/>
        </w:rPr>
        <w:t xml:space="preserve">Vol. </w:t>
      </w:r>
      <w:r w:rsidRPr="00624AA7">
        <w:rPr>
          <w:rFonts w:cstheme="minorHAnsi"/>
        </w:rPr>
        <w:t xml:space="preserve">1 </w:t>
      </w:r>
      <w:r w:rsidRPr="00624AA7">
        <w:rPr>
          <w:rFonts w:cstheme="minorHAnsi"/>
        </w:rPr>
        <w:t>(</w:t>
      </w:r>
      <w:proofErr w:type="gramStart"/>
      <w:r w:rsidRPr="00624AA7">
        <w:rPr>
          <w:rFonts w:cstheme="minorHAnsi"/>
        </w:rPr>
        <w:t>1998</w:t>
      </w:r>
      <w:r w:rsidRPr="00624AA7">
        <w:rPr>
          <w:rFonts w:cstheme="minorHAnsi"/>
        </w:rPr>
        <w:t>)</w:t>
      </w:r>
      <w:r w:rsidRPr="00624AA7">
        <w:rPr>
          <w:rFonts w:cstheme="minorHAnsi"/>
        </w:rPr>
        <w:t>-</w:t>
      </w:r>
      <w:proofErr w:type="gramEnd"/>
      <w:r w:rsidRPr="00624AA7">
        <w:rPr>
          <w:rFonts w:cstheme="minorHAnsi"/>
        </w:rPr>
        <w:t>vol. 3 (1998)</w:t>
      </w:r>
      <w:r w:rsidRPr="00624AA7">
        <w:rPr>
          <w:rFonts w:cstheme="minorHAnsi"/>
        </w:rPr>
        <w:t xml:space="preserve">. - </w:t>
      </w:r>
      <w:proofErr w:type="gramStart"/>
      <w:r w:rsidRPr="00624AA7">
        <w:rPr>
          <w:rFonts w:cstheme="minorHAnsi"/>
        </w:rPr>
        <w:t>Milano :</w:t>
      </w:r>
      <w:proofErr w:type="gramEnd"/>
      <w:r w:rsidRPr="00624AA7">
        <w:rPr>
          <w:rFonts w:cstheme="minorHAnsi"/>
        </w:rPr>
        <w:t xml:space="preserve"> Istituto didattico pedagogico della Resistenza, 1998. </w:t>
      </w:r>
      <w:r w:rsidRPr="00624AA7">
        <w:rPr>
          <w:rFonts w:cstheme="minorHAnsi"/>
        </w:rPr>
        <w:t>–</w:t>
      </w:r>
      <w:r w:rsidRPr="00624AA7">
        <w:rPr>
          <w:rFonts w:cstheme="minorHAnsi"/>
        </w:rPr>
        <w:t xml:space="preserve"> </w:t>
      </w:r>
      <w:r w:rsidRPr="00624AA7">
        <w:rPr>
          <w:rFonts w:cstheme="minorHAnsi"/>
        </w:rPr>
        <w:t xml:space="preserve">3 </w:t>
      </w:r>
      <w:r w:rsidRPr="00624AA7">
        <w:rPr>
          <w:rFonts w:cstheme="minorHAnsi"/>
        </w:rPr>
        <w:t>v</w:t>
      </w:r>
      <w:r w:rsidRPr="00624AA7">
        <w:rPr>
          <w:rFonts w:cstheme="minorHAnsi"/>
        </w:rPr>
        <w:t>olumi</w:t>
      </w:r>
      <w:r w:rsidRPr="00624AA7">
        <w:rPr>
          <w:rFonts w:cstheme="minorHAnsi"/>
        </w:rPr>
        <w:t>; 21 cm.</w:t>
      </w:r>
      <w:r w:rsidRPr="00624AA7">
        <w:rPr>
          <w:rFonts w:cstheme="minorHAnsi"/>
        </w:rPr>
        <w:t xml:space="preserve"> ((Sommari a: </w:t>
      </w:r>
      <w:hyperlink r:id="rId4" w:history="1">
        <w:r w:rsidRPr="00624AA7">
          <w:rPr>
            <w:rStyle w:val="Collegamentoipertestuale"/>
            <w:rFonts w:cstheme="minorHAnsi"/>
          </w:rPr>
          <w:t>http://www.civl.it/origini_e_cause_dei_regimi_total%202.htm</w:t>
        </w:r>
      </w:hyperlink>
      <w:r w:rsidRPr="00624AA7">
        <w:rPr>
          <w:rFonts w:cstheme="minorHAnsi"/>
        </w:rPr>
        <w:t xml:space="preserve">. - </w:t>
      </w:r>
      <w:r w:rsidRPr="00624AA7">
        <w:rPr>
          <w:rFonts w:cstheme="minorHAnsi"/>
        </w:rPr>
        <w:t>LO11969858</w:t>
      </w:r>
    </w:p>
    <w:p w14:paraId="3AEA1E64" w14:textId="318AD724" w:rsidR="00624AA7" w:rsidRPr="00624AA7" w:rsidRDefault="00624AA7" w:rsidP="00624AA7">
      <w:pPr>
        <w:spacing w:after="0" w:line="240" w:lineRule="auto"/>
        <w:jc w:val="both"/>
        <w:rPr>
          <w:rFonts w:cstheme="minorHAnsi"/>
        </w:rPr>
      </w:pPr>
      <w:r w:rsidRPr="00624AA7">
        <w:rPr>
          <w:rFonts w:cstheme="minorHAnsi"/>
        </w:rPr>
        <w:t xml:space="preserve">Comprende: </w:t>
      </w:r>
    </w:p>
    <w:p w14:paraId="72ECC96B" w14:textId="62020F08" w:rsidR="00624AA7" w:rsidRPr="00624AA7" w:rsidRDefault="00624AA7" w:rsidP="00624AA7">
      <w:pPr>
        <w:spacing w:after="0" w:line="240" w:lineRule="auto"/>
        <w:jc w:val="both"/>
        <w:rPr>
          <w:rFonts w:eastAsia="Times New Roman" w:cstheme="minorHAnsi"/>
          <w:kern w:val="0"/>
          <w:lang w:eastAsia="it-IT"/>
          <w14:ligatures w14:val="none"/>
        </w:rPr>
      </w:pPr>
      <w:r w:rsidRPr="00624AA7">
        <w:rPr>
          <w:rFonts w:eastAsia="Times New Roman" w:cstheme="minorHAnsi"/>
          <w:kern w:val="0"/>
          <w:lang w:eastAsia="it-IT"/>
          <w14:ligatures w14:val="none"/>
        </w:rPr>
        <w:t xml:space="preserve">1: </w:t>
      </w:r>
      <w:hyperlink r:id="rId5" w:tgtFrame="_self" w:history="1">
        <w:r w:rsidRPr="00624AA7">
          <w:rPr>
            <w:rFonts w:eastAsia="Times New Roman" w:cstheme="minorHAnsi"/>
            <w:kern w:val="0"/>
            <w:lang w:eastAsia="it-IT"/>
            <w14:ligatures w14:val="none"/>
          </w:rPr>
          <w:t>Un secolo carico di tragedie e di speranze / Orazio Pizzigoni</w:t>
        </w:r>
      </w:hyperlink>
      <w:r w:rsidRPr="00624AA7">
        <w:rPr>
          <w:rFonts w:eastAsia="Times New Roman" w:cstheme="minorHAnsi"/>
          <w:kern w:val="0"/>
          <w:lang w:eastAsia="it-IT"/>
          <w14:ligatures w14:val="none"/>
        </w:rPr>
        <w:t xml:space="preserve"> </w:t>
      </w:r>
    </w:p>
    <w:p w14:paraId="05E22DEE" w14:textId="67BF71B9" w:rsidR="00624AA7" w:rsidRPr="00624AA7" w:rsidRDefault="00624AA7" w:rsidP="00624AA7">
      <w:pPr>
        <w:spacing w:after="0" w:line="240" w:lineRule="auto"/>
        <w:jc w:val="both"/>
        <w:rPr>
          <w:rFonts w:eastAsia="Times New Roman" w:cstheme="minorHAnsi"/>
          <w:kern w:val="0"/>
          <w:lang w:eastAsia="it-IT"/>
          <w14:ligatures w14:val="none"/>
        </w:rPr>
      </w:pPr>
      <w:r w:rsidRPr="00624AA7">
        <w:rPr>
          <w:rFonts w:eastAsia="Times New Roman" w:cstheme="minorHAnsi"/>
          <w:kern w:val="0"/>
          <w:lang w:eastAsia="it-IT"/>
          <w14:ligatures w14:val="none"/>
        </w:rPr>
        <w:t xml:space="preserve">2: </w:t>
      </w:r>
      <w:hyperlink r:id="rId6" w:tgtFrame="_self" w:history="1">
        <w:r w:rsidRPr="00624AA7">
          <w:rPr>
            <w:rFonts w:eastAsia="Times New Roman" w:cstheme="minorHAnsi"/>
            <w:kern w:val="0"/>
            <w:lang w:eastAsia="it-IT"/>
            <w14:ligatures w14:val="none"/>
          </w:rPr>
          <w:t xml:space="preserve">Autoritarismo e totalitarismo nell'Europa del 20. secolo / Lorenzo </w:t>
        </w:r>
        <w:proofErr w:type="spellStart"/>
        <w:r w:rsidRPr="00624AA7">
          <w:rPr>
            <w:rFonts w:eastAsia="Times New Roman" w:cstheme="minorHAnsi"/>
            <w:kern w:val="0"/>
            <w:lang w:eastAsia="it-IT"/>
            <w14:ligatures w14:val="none"/>
          </w:rPr>
          <w:t>Cattoni</w:t>
        </w:r>
        <w:proofErr w:type="spellEnd"/>
      </w:hyperlink>
      <w:r w:rsidRPr="00624AA7">
        <w:rPr>
          <w:rFonts w:eastAsia="Times New Roman" w:cstheme="minorHAnsi"/>
          <w:kern w:val="0"/>
          <w:lang w:eastAsia="it-IT"/>
          <w14:ligatures w14:val="none"/>
        </w:rPr>
        <w:t xml:space="preserve"> </w:t>
      </w:r>
    </w:p>
    <w:p w14:paraId="46910481" w14:textId="6027C8E2" w:rsidR="00624AA7" w:rsidRPr="00624AA7" w:rsidRDefault="00624AA7" w:rsidP="00624AA7">
      <w:pPr>
        <w:spacing w:after="0" w:line="240" w:lineRule="auto"/>
        <w:jc w:val="both"/>
        <w:rPr>
          <w:rFonts w:cstheme="minorHAnsi"/>
        </w:rPr>
      </w:pPr>
      <w:r w:rsidRPr="00624AA7">
        <w:rPr>
          <w:rFonts w:cstheme="minorHAnsi"/>
        </w:rPr>
        <w:t xml:space="preserve">3: </w:t>
      </w:r>
      <w:r w:rsidRPr="00A16C7E">
        <w:rPr>
          <w:rFonts w:cstheme="minorHAnsi"/>
        </w:rPr>
        <w:t>Terrorismo e servizi segreti in Italia</w:t>
      </w:r>
      <w:r w:rsidRPr="00624AA7">
        <w:rPr>
          <w:rFonts w:cstheme="minorHAnsi"/>
        </w:rPr>
        <w:t xml:space="preserve"> / </w:t>
      </w:r>
      <w:r w:rsidRPr="00624AA7">
        <w:rPr>
          <w:rFonts w:cstheme="minorHAnsi"/>
        </w:rPr>
        <w:t>Alessia Dimitri</w:t>
      </w:r>
    </w:p>
    <w:p w14:paraId="6B10C1D8" w14:textId="3F8759E9" w:rsidR="00624AA7" w:rsidRDefault="00624AA7" w:rsidP="00624AA7">
      <w:pPr>
        <w:spacing w:after="0" w:line="240" w:lineRule="auto"/>
        <w:jc w:val="both"/>
        <w:rPr>
          <w:rFonts w:cstheme="minorHAnsi"/>
        </w:rPr>
      </w:pPr>
      <w:r w:rsidRPr="00624AA7">
        <w:rPr>
          <w:rFonts w:eastAsia="Times New Roman" w:cstheme="minorHAnsi"/>
          <w:kern w:val="0"/>
          <w:lang w:eastAsia="it-IT"/>
          <w14:ligatures w14:val="none"/>
        </w:rPr>
        <w:t xml:space="preserve">Autore: </w:t>
      </w:r>
      <w:r w:rsidRPr="00624AA7">
        <w:rPr>
          <w:rFonts w:cstheme="minorHAnsi"/>
        </w:rPr>
        <w:t xml:space="preserve">Istituto didattico pedagogico della Resistenza &lt;Milano&gt; </w:t>
      </w:r>
    </w:p>
    <w:p w14:paraId="3A21933E" w14:textId="1EA5A386" w:rsidR="00A16C7E" w:rsidRPr="00624AA7" w:rsidRDefault="00A16C7E" w:rsidP="00624AA7">
      <w:pPr>
        <w:spacing w:after="0" w:line="240" w:lineRule="auto"/>
        <w:jc w:val="both"/>
        <w:rPr>
          <w:rFonts w:eastAsia="Times New Roman" w:cstheme="minorHAnsi"/>
          <w:kern w:val="0"/>
          <w:lang w:eastAsia="it-IT"/>
          <w14:ligatures w14:val="none"/>
        </w:rPr>
      </w:pPr>
      <w:r>
        <w:rPr>
          <w:rFonts w:cstheme="minorHAnsi"/>
        </w:rPr>
        <w:t>Soggetto: Storia – Sec. 20. – Didattica - 1998</w:t>
      </w:r>
    </w:p>
    <w:p w14:paraId="7594601C" w14:textId="77777777" w:rsidR="00624AA7" w:rsidRPr="00624AA7" w:rsidRDefault="00624AA7" w:rsidP="00624AA7">
      <w:pPr>
        <w:spacing w:after="0" w:line="240" w:lineRule="auto"/>
        <w:jc w:val="both"/>
        <w:rPr>
          <w:rFonts w:cstheme="minorHAnsi"/>
        </w:rPr>
      </w:pPr>
    </w:p>
    <w:p w14:paraId="7660B94D" w14:textId="7BC2963E" w:rsidR="00624AA7" w:rsidRPr="00624AA7" w:rsidRDefault="00624AA7" w:rsidP="00624AA7">
      <w:pPr>
        <w:spacing w:after="0" w:line="240" w:lineRule="auto"/>
        <w:jc w:val="both"/>
        <w:rPr>
          <w:rFonts w:cstheme="minorHAnsi"/>
          <w:b/>
          <w:bCs/>
          <w:color w:val="C00000"/>
          <w:sz w:val="44"/>
          <w:szCs w:val="44"/>
        </w:rPr>
      </w:pPr>
      <w:r w:rsidRPr="00624AA7">
        <w:rPr>
          <w:rFonts w:cstheme="minorHAnsi"/>
          <w:b/>
          <w:bCs/>
          <w:color w:val="C00000"/>
          <w:sz w:val="44"/>
          <w:szCs w:val="44"/>
        </w:rPr>
        <w:t>Informazioni storico-bibliografiche</w:t>
      </w:r>
    </w:p>
    <w:p w14:paraId="27C5C22C" w14:textId="77777777" w:rsidR="00624AA7" w:rsidRPr="00624AA7" w:rsidRDefault="00624AA7" w:rsidP="00624AA7">
      <w:pPr>
        <w:spacing w:after="0" w:line="240" w:lineRule="auto"/>
        <w:ind w:right="3000"/>
        <w:jc w:val="both"/>
        <w:rPr>
          <w:rFonts w:eastAsia="Times New Roman" w:cstheme="minorHAnsi"/>
          <w:kern w:val="0"/>
          <w:lang w:eastAsia="it-IT"/>
          <w14:ligatures w14:val="none"/>
        </w:rPr>
      </w:pPr>
      <w:r w:rsidRPr="00624AA7">
        <w:rPr>
          <w:rFonts w:eastAsia="Times New Roman" w:cstheme="minorHAnsi"/>
          <w:color w:val="0000FF"/>
          <w:kern w:val="0"/>
          <w:lang w:eastAsia="it-IT"/>
          <w14:ligatures w14:val="none"/>
        </w:rPr>
        <w:t>Questi quaderni si propongono di mettere a fuoco le questioni di maggiore peso e significato che il Novecento, un secolo terribile e insieme, affascinante, ci ha proposto. Alla vigilia del Duemila, si impone una riflessione approfondita, libera da schemi ideologici e culturali, aperta sulle ragioni che hanno caratterizzato speranze, sogni, illusioni. Con una preoccupazione fondamentale: quella di capire meglio la lezione che il nostro secolo, così carico di problemi, ci ha lasciato e attorno alla quale le nuove generazioni in modo particolare saranno impegnate nel tentativo sicuramente difficile ma non disperato di disegnare prospettive di sviluppo civile per tutti.</w:t>
      </w:r>
    </w:p>
    <w:p w14:paraId="68B6D917" w14:textId="77777777" w:rsidR="00624AA7" w:rsidRPr="00624AA7" w:rsidRDefault="00624AA7" w:rsidP="00624AA7">
      <w:pPr>
        <w:spacing w:after="0" w:line="240" w:lineRule="auto"/>
        <w:ind w:left="3000" w:right="3000"/>
        <w:jc w:val="both"/>
        <w:rPr>
          <w:rFonts w:eastAsia="Times New Roman" w:cstheme="minorHAnsi"/>
          <w:kern w:val="0"/>
          <w:lang w:eastAsia="it-IT"/>
          <w14:ligatures w14:val="none"/>
        </w:rPr>
      </w:pPr>
      <w:r w:rsidRPr="00624AA7">
        <w:rPr>
          <w:rFonts w:eastAsia="Times New Roman" w:cstheme="minorHAnsi"/>
          <w:color w:val="0000FF"/>
          <w:kern w:val="0"/>
          <w:lang w:eastAsia="it-IT"/>
          <w14:ligatures w14:val="none"/>
        </w:rPr>
        <w:t> </w:t>
      </w:r>
    </w:p>
    <w:p w14:paraId="49B32FA8" w14:textId="77777777" w:rsidR="00624AA7" w:rsidRPr="00624AA7" w:rsidRDefault="00624AA7" w:rsidP="00624AA7">
      <w:pPr>
        <w:spacing w:after="0" w:line="240" w:lineRule="auto"/>
        <w:ind w:right="3000"/>
        <w:jc w:val="both"/>
        <w:rPr>
          <w:rFonts w:eastAsia="Times New Roman" w:cstheme="minorHAnsi"/>
          <w:kern w:val="0"/>
          <w:lang w:eastAsia="it-IT"/>
          <w14:ligatures w14:val="none"/>
        </w:rPr>
      </w:pPr>
      <w:proofErr w:type="gramStart"/>
      <w:r w:rsidRPr="00624AA7">
        <w:rPr>
          <w:rFonts w:eastAsia="Times New Roman" w:cstheme="minorHAnsi"/>
          <w:color w:val="0000FF"/>
          <w:kern w:val="0"/>
          <w:lang w:eastAsia="it-IT"/>
          <w14:ligatures w14:val="none"/>
        </w:rPr>
        <w:t>E'</w:t>
      </w:r>
      <w:proofErr w:type="gramEnd"/>
      <w:r w:rsidRPr="00624AA7">
        <w:rPr>
          <w:rFonts w:eastAsia="Times New Roman" w:cstheme="minorHAnsi"/>
          <w:color w:val="0000FF"/>
          <w:kern w:val="0"/>
          <w:lang w:eastAsia="it-IT"/>
          <w14:ligatures w14:val="none"/>
        </w:rPr>
        <w:t xml:space="preserve"> convinzione nostra </w:t>
      </w:r>
      <w:r w:rsidRPr="00624AA7">
        <w:rPr>
          <w:rFonts w:eastAsia="Times New Roman" w:cstheme="minorHAnsi"/>
          <w:color w:val="0000FF"/>
          <w:kern w:val="0"/>
          <w:lang w:eastAsia="it-IT"/>
          <w14:ligatures w14:val="none"/>
        </w:rPr>
        <w:noBreakHyphen/>
        <w:t>tante volte ribadita in incontri, confronti, convegni</w:t>
      </w:r>
      <w:r w:rsidRPr="00624AA7">
        <w:rPr>
          <w:rFonts w:eastAsia="Times New Roman" w:cstheme="minorHAnsi"/>
          <w:color w:val="0000FF"/>
          <w:kern w:val="0"/>
          <w:lang w:eastAsia="it-IT"/>
          <w14:ligatures w14:val="none"/>
        </w:rPr>
        <w:noBreakHyphen/>
        <w:t xml:space="preserve"> che sia impossibile dare corso a progetti adeguati alle esigenze del nostro tempo senza una rilettura rigorosa dei percorsi di un secolo, che, come non mai nella storia dell'umanità, ha esaltato e, nello stesso tempo, mortificato l'uomo.</w:t>
      </w:r>
    </w:p>
    <w:p w14:paraId="7A3813DF" w14:textId="77777777" w:rsidR="00624AA7" w:rsidRPr="00624AA7" w:rsidRDefault="00624AA7" w:rsidP="00624AA7">
      <w:pPr>
        <w:spacing w:after="0" w:line="240" w:lineRule="auto"/>
        <w:ind w:left="3000" w:right="3000"/>
        <w:jc w:val="both"/>
        <w:rPr>
          <w:rFonts w:eastAsia="Times New Roman" w:cstheme="minorHAnsi"/>
          <w:kern w:val="0"/>
          <w:lang w:eastAsia="it-IT"/>
          <w14:ligatures w14:val="none"/>
        </w:rPr>
      </w:pPr>
      <w:r w:rsidRPr="00624AA7">
        <w:rPr>
          <w:rFonts w:eastAsia="Times New Roman" w:cstheme="minorHAnsi"/>
          <w:color w:val="0000FF"/>
          <w:kern w:val="0"/>
          <w:lang w:eastAsia="it-IT"/>
          <w14:ligatures w14:val="none"/>
        </w:rPr>
        <w:t> </w:t>
      </w:r>
    </w:p>
    <w:p w14:paraId="545F5C07" w14:textId="77777777" w:rsidR="00624AA7" w:rsidRPr="00624AA7" w:rsidRDefault="00624AA7" w:rsidP="00624AA7">
      <w:pPr>
        <w:spacing w:after="0" w:line="240" w:lineRule="auto"/>
        <w:ind w:right="3000"/>
        <w:jc w:val="both"/>
        <w:rPr>
          <w:rFonts w:eastAsia="Times New Roman" w:cstheme="minorHAnsi"/>
          <w:kern w:val="0"/>
          <w:lang w:eastAsia="it-IT"/>
          <w14:ligatures w14:val="none"/>
        </w:rPr>
      </w:pPr>
      <w:r w:rsidRPr="00624AA7">
        <w:rPr>
          <w:rFonts w:eastAsia="Times New Roman" w:cstheme="minorHAnsi"/>
          <w:color w:val="0000FF"/>
          <w:kern w:val="0"/>
          <w:lang w:eastAsia="it-IT"/>
          <w14:ligatures w14:val="none"/>
        </w:rPr>
        <w:t xml:space="preserve">Le note che proporremo in questi quaderni dedicati dal "Pedagogico" al Novecento vogliono stimolare questa rilettura da parte di studenti e insegnanti (ma non solo) in modo da coglierne per intero il messaggio. Fuori di schemi culturali che risultano spesso insufficienti a spiegarne </w:t>
      </w:r>
      <w:r w:rsidRPr="00624AA7">
        <w:rPr>
          <w:rFonts w:eastAsia="Times New Roman" w:cstheme="minorHAnsi"/>
          <w:color w:val="0000FF"/>
          <w:kern w:val="0"/>
          <w:lang w:eastAsia="it-IT"/>
          <w14:ligatures w14:val="none"/>
        </w:rPr>
        <w:noBreakHyphen/>
        <w:t>almeno secondo noi</w:t>
      </w:r>
      <w:r w:rsidRPr="00624AA7">
        <w:rPr>
          <w:rFonts w:eastAsia="Times New Roman" w:cstheme="minorHAnsi"/>
          <w:color w:val="0000FF"/>
          <w:kern w:val="0"/>
          <w:lang w:eastAsia="it-IT"/>
          <w14:ligatures w14:val="none"/>
        </w:rPr>
        <w:noBreakHyphen/>
        <w:t xml:space="preserve"> il senso.</w:t>
      </w:r>
    </w:p>
    <w:p w14:paraId="695A68DC" w14:textId="77777777" w:rsidR="00624AA7" w:rsidRPr="00624AA7" w:rsidRDefault="00624AA7" w:rsidP="00624AA7">
      <w:pPr>
        <w:spacing w:after="0" w:line="240" w:lineRule="auto"/>
        <w:ind w:left="3000" w:right="3000"/>
        <w:jc w:val="both"/>
        <w:rPr>
          <w:rFonts w:eastAsia="Times New Roman" w:cstheme="minorHAnsi"/>
          <w:kern w:val="0"/>
          <w:lang w:eastAsia="it-IT"/>
          <w14:ligatures w14:val="none"/>
        </w:rPr>
      </w:pPr>
      <w:r w:rsidRPr="00624AA7">
        <w:rPr>
          <w:rFonts w:eastAsia="Times New Roman" w:cstheme="minorHAnsi"/>
          <w:kern w:val="0"/>
          <w:lang w:eastAsia="it-IT"/>
          <w14:ligatures w14:val="none"/>
        </w:rPr>
        <w:t> </w:t>
      </w:r>
    </w:p>
    <w:p w14:paraId="4C75A47A" w14:textId="77777777" w:rsidR="00624AA7" w:rsidRPr="00624AA7" w:rsidRDefault="00624AA7" w:rsidP="00624AA7">
      <w:pPr>
        <w:spacing w:after="0" w:line="240" w:lineRule="auto"/>
        <w:ind w:right="3000"/>
        <w:jc w:val="both"/>
        <w:rPr>
          <w:rFonts w:eastAsia="Times New Roman" w:cstheme="minorHAnsi"/>
          <w:kern w:val="0"/>
          <w:lang w:eastAsia="it-IT"/>
          <w14:ligatures w14:val="none"/>
        </w:rPr>
      </w:pPr>
      <w:r w:rsidRPr="00624AA7">
        <w:rPr>
          <w:rFonts w:eastAsia="Times New Roman" w:cstheme="minorHAnsi"/>
          <w:color w:val="0000FF"/>
          <w:kern w:val="0"/>
          <w:lang w:eastAsia="it-IT"/>
          <w14:ligatures w14:val="none"/>
        </w:rPr>
        <w:t>Milano, aprile 1998</w:t>
      </w:r>
    </w:p>
    <w:p w14:paraId="5833AD04" w14:textId="77777777" w:rsidR="00624AA7" w:rsidRPr="00624AA7" w:rsidRDefault="00624AA7" w:rsidP="00A16C7E">
      <w:pPr>
        <w:spacing w:after="0" w:line="240" w:lineRule="auto"/>
        <w:ind w:right="3000"/>
        <w:jc w:val="both"/>
        <w:outlineLvl w:val="2"/>
        <w:rPr>
          <w:rFonts w:eastAsia="Times New Roman" w:cstheme="minorHAnsi"/>
          <w:kern w:val="0"/>
          <w:lang w:eastAsia="it-IT"/>
          <w14:ligatures w14:val="none"/>
        </w:rPr>
      </w:pPr>
      <w:r w:rsidRPr="00624AA7">
        <w:rPr>
          <w:rFonts w:eastAsia="Times New Roman" w:cstheme="minorHAnsi"/>
          <w:color w:val="0000FF"/>
          <w:kern w:val="0"/>
          <w:lang w:eastAsia="it-IT"/>
          <w14:ligatures w14:val="none"/>
        </w:rPr>
        <w:t>L’Istituto Didattico Pedagogico della Resistenza</w:t>
      </w:r>
    </w:p>
    <w:p w14:paraId="7D8A32EC" w14:textId="257D81EC" w:rsidR="00624AA7" w:rsidRPr="00624AA7" w:rsidRDefault="00624AA7" w:rsidP="00624AA7">
      <w:pPr>
        <w:spacing w:after="0" w:line="240" w:lineRule="auto"/>
        <w:jc w:val="both"/>
        <w:rPr>
          <w:rFonts w:cstheme="minorHAnsi"/>
        </w:rPr>
      </w:pPr>
      <w:hyperlink r:id="rId7" w:history="1">
        <w:r w:rsidRPr="00624AA7">
          <w:rPr>
            <w:rStyle w:val="Collegamentoipertestuale"/>
            <w:rFonts w:cstheme="minorHAnsi"/>
          </w:rPr>
          <w:t>http://www.civl.it/quaderni_del_pedagogico%20Pizzigoni.htm</w:t>
        </w:r>
      </w:hyperlink>
    </w:p>
    <w:p w14:paraId="50DA4322" w14:textId="77777777" w:rsidR="00624AA7" w:rsidRDefault="00624AA7"/>
    <w:sectPr w:rsidR="00624A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4B40"/>
    <w:rsid w:val="0031062F"/>
    <w:rsid w:val="00624AA7"/>
    <w:rsid w:val="008C4B40"/>
    <w:rsid w:val="00A16C7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34C2"/>
  <w15:chartTrackingRefBased/>
  <w15:docId w15:val="{EA403BBB-A7AD-4ED7-B762-FC415F46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624AA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4AA7"/>
    <w:rPr>
      <w:color w:val="0000FF"/>
      <w:u w:val="single"/>
    </w:rPr>
  </w:style>
  <w:style w:type="character" w:styleId="Menzionenonrisolta">
    <w:name w:val="Unresolved Mention"/>
    <w:basedOn w:val="Carpredefinitoparagrafo"/>
    <w:uiPriority w:val="99"/>
    <w:semiHidden/>
    <w:unhideWhenUsed/>
    <w:rsid w:val="00624AA7"/>
    <w:rPr>
      <w:color w:val="605E5C"/>
      <w:shd w:val="clear" w:color="auto" w:fill="E1DFDD"/>
    </w:rPr>
  </w:style>
  <w:style w:type="character" w:customStyle="1" w:styleId="Titolo3Carattere">
    <w:name w:val="Titolo 3 Carattere"/>
    <w:basedOn w:val="Carpredefinitoparagrafo"/>
    <w:link w:val="Titolo3"/>
    <w:uiPriority w:val="9"/>
    <w:rsid w:val="00624AA7"/>
    <w:rPr>
      <w:rFonts w:ascii="Times New Roman" w:eastAsia="Times New Roman" w:hAnsi="Times New Roman" w:cs="Times New Roman"/>
      <w:b/>
      <w:bCs/>
      <w:kern w:val="0"/>
      <w:sz w:val="27"/>
      <w:szCs w:val="27"/>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20136">
      <w:bodyDiv w:val="1"/>
      <w:marLeft w:val="0"/>
      <w:marRight w:val="0"/>
      <w:marTop w:val="0"/>
      <w:marBottom w:val="0"/>
      <w:divBdr>
        <w:top w:val="none" w:sz="0" w:space="0" w:color="auto"/>
        <w:left w:val="none" w:sz="0" w:space="0" w:color="auto"/>
        <w:bottom w:val="none" w:sz="0" w:space="0" w:color="auto"/>
        <w:right w:val="none" w:sz="0" w:space="0" w:color="auto"/>
      </w:divBdr>
    </w:div>
    <w:div w:id="1384984252">
      <w:bodyDiv w:val="1"/>
      <w:marLeft w:val="0"/>
      <w:marRight w:val="0"/>
      <w:marTop w:val="0"/>
      <w:marBottom w:val="0"/>
      <w:divBdr>
        <w:top w:val="none" w:sz="0" w:space="0" w:color="auto"/>
        <w:left w:val="none" w:sz="0" w:space="0" w:color="auto"/>
        <w:bottom w:val="none" w:sz="0" w:space="0" w:color="auto"/>
        <w:right w:val="none" w:sz="0" w:space="0" w:color="auto"/>
      </w:divBdr>
      <w:divsChild>
        <w:div w:id="200979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vl.it/quaderni_del_pedagogico%20Pizzigoni.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ac.sbn.it/c/opac/view?id=LO11969859" TargetMode="External"/><Relationship Id="rId5" Type="http://schemas.openxmlformats.org/officeDocument/2006/relationships/hyperlink" Target="https://opac.sbn.it/c/opac/view?id=LO11969852" TargetMode="External"/><Relationship Id="rId4" Type="http://schemas.openxmlformats.org/officeDocument/2006/relationships/hyperlink" Target="http://www.civl.it/origini_e_cause_dei_regimi_total%202.ht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361</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2023-07-13T06:05:00Z</dcterms:created>
  <dcterms:modified xsi:type="dcterms:W3CDTF">2023-07-13T06:18:00Z</dcterms:modified>
</cp:coreProperties>
</file>