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6277" w14:textId="4D6606BF" w:rsidR="00D931AD" w:rsidRDefault="00D931AD" w:rsidP="00D931AD">
      <w:pPr>
        <w:jc w:val="both"/>
        <w:rPr>
          <w:rFonts w:asciiTheme="minorHAnsi" w:hAnsiTheme="minorHAnsi" w:cstheme="minorHAnsi"/>
          <w:i/>
          <w:sz w:val="16"/>
          <w:szCs w:val="16"/>
        </w:rPr>
      </w:pPr>
      <w:r>
        <w:rPr>
          <w:rFonts w:asciiTheme="minorHAnsi" w:hAnsiTheme="minorHAnsi" w:cstheme="minorHAnsi"/>
          <w:b/>
          <w:color w:val="C00000"/>
          <w:sz w:val="44"/>
          <w:szCs w:val="44"/>
        </w:rPr>
        <w:t>F8989</w:t>
      </w:r>
      <w:r w:rsidRPr="00FA4905">
        <w:rPr>
          <w:rFonts w:asciiTheme="minorHAnsi" w:hAnsiTheme="minorHAnsi" w:cstheme="minorHAnsi"/>
        </w:rPr>
        <w:t xml:space="preserve"> </w:t>
      </w:r>
      <w:r w:rsidRPr="00FA4905">
        <w:rPr>
          <w:rFonts w:asciiTheme="minorHAnsi" w:hAnsiTheme="minorHAnsi" w:cstheme="minorHAnsi"/>
        </w:rPr>
        <w:tab/>
      </w:r>
      <w:r w:rsidRPr="00FA4905">
        <w:rPr>
          <w:rFonts w:asciiTheme="minorHAnsi" w:hAnsiTheme="minorHAnsi" w:cstheme="minorHAnsi"/>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Pr>
          <w:rFonts w:asciiTheme="minorHAnsi" w:hAnsiTheme="minorHAnsi" w:cstheme="minorHAnsi"/>
          <w:sz w:val="16"/>
          <w:szCs w:val="16"/>
        </w:rPr>
        <w:tab/>
      </w:r>
      <w:r w:rsidRPr="00FA4905">
        <w:rPr>
          <w:rFonts w:asciiTheme="minorHAnsi" w:hAnsiTheme="minorHAnsi" w:cstheme="minorHAnsi"/>
          <w:i/>
          <w:sz w:val="16"/>
          <w:szCs w:val="16"/>
        </w:rPr>
        <w:t>Scheda creata il 1</w:t>
      </w:r>
      <w:r>
        <w:rPr>
          <w:rFonts w:asciiTheme="minorHAnsi" w:hAnsiTheme="minorHAnsi" w:cstheme="minorHAnsi"/>
          <w:i/>
          <w:sz w:val="16"/>
          <w:szCs w:val="16"/>
        </w:rPr>
        <w:t>6</w:t>
      </w:r>
      <w:r w:rsidRPr="00FA4905">
        <w:rPr>
          <w:rFonts w:asciiTheme="minorHAnsi" w:hAnsiTheme="minorHAnsi" w:cstheme="minorHAnsi"/>
          <w:i/>
          <w:sz w:val="16"/>
          <w:szCs w:val="16"/>
        </w:rPr>
        <w:t xml:space="preserve"> settembre 2023</w:t>
      </w:r>
    </w:p>
    <w:p w14:paraId="36062AAC" w14:textId="3429EFE3" w:rsidR="006E2889" w:rsidRDefault="006E2889" w:rsidP="00A20A54">
      <w:pPr>
        <w:jc w:val="center"/>
        <w:rPr>
          <w:rFonts w:asciiTheme="minorHAnsi" w:hAnsiTheme="minorHAnsi" w:cstheme="minorHAnsi"/>
          <w:b/>
          <w:color w:val="C00000"/>
          <w:sz w:val="44"/>
          <w:szCs w:val="44"/>
        </w:rPr>
      </w:pPr>
      <w:r>
        <w:rPr>
          <w:noProof/>
        </w:rPr>
        <w:drawing>
          <wp:inline distT="0" distB="0" distL="0" distR="0" wp14:anchorId="78BFE31B" wp14:editId="6AF42B31">
            <wp:extent cx="2059200" cy="2880000"/>
            <wp:effectExtent l="0" t="0" r="0" b="0"/>
            <wp:docPr id="709548452" name="Immagine 1" descr="Rivista, Rivista italiana di diritto del turismo, Franco Ang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Rivista italiana di diritto del turismo, Franco Ange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9200" cy="2880000"/>
                    </a:xfrm>
                    <a:prstGeom prst="rect">
                      <a:avLst/>
                    </a:prstGeom>
                    <a:noFill/>
                    <a:ln>
                      <a:noFill/>
                    </a:ln>
                  </pic:spPr>
                </pic:pic>
              </a:graphicData>
            </a:graphic>
          </wp:inline>
        </w:drawing>
      </w:r>
      <w:r w:rsidR="00A20A54" w:rsidRPr="00A20A54">
        <w:drawing>
          <wp:inline distT="0" distB="0" distL="0" distR="0" wp14:anchorId="41300785" wp14:editId="17E29829">
            <wp:extent cx="1893600" cy="2880000"/>
            <wp:effectExtent l="0" t="0" r="0" b="0"/>
            <wp:docPr id="1645820133" name="Immagine 1" descr="Immagine che contiene testo, Carattere, scherma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20133" name="Immagine 1" descr="Immagine che contiene testo, Carattere, schermata, lettera&#10;&#10;Descrizione generata automaticamente"/>
                    <pic:cNvPicPr/>
                  </pic:nvPicPr>
                  <pic:blipFill>
                    <a:blip r:embed="rId6"/>
                    <a:stretch>
                      <a:fillRect/>
                    </a:stretch>
                  </pic:blipFill>
                  <pic:spPr>
                    <a:xfrm>
                      <a:off x="0" y="0"/>
                      <a:ext cx="1893600" cy="2880000"/>
                    </a:xfrm>
                    <a:prstGeom prst="rect">
                      <a:avLst/>
                    </a:prstGeom>
                  </pic:spPr>
                </pic:pic>
              </a:graphicData>
            </a:graphic>
          </wp:inline>
        </w:drawing>
      </w:r>
    </w:p>
    <w:p w14:paraId="012AC978" w14:textId="0255F0DE" w:rsidR="00D931AD" w:rsidRPr="00FA4905" w:rsidRDefault="00D931AD" w:rsidP="00D931AD">
      <w:pPr>
        <w:jc w:val="both"/>
        <w:rPr>
          <w:rFonts w:asciiTheme="minorHAnsi" w:hAnsiTheme="minorHAnsi" w:cstheme="minorHAnsi"/>
          <w:b/>
          <w:color w:val="C00000"/>
          <w:sz w:val="44"/>
          <w:szCs w:val="44"/>
        </w:rPr>
      </w:pPr>
      <w:r w:rsidRPr="00FA4905">
        <w:rPr>
          <w:rFonts w:asciiTheme="minorHAnsi" w:hAnsiTheme="minorHAnsi" w:cstheme="minorHAnsi"/>
          <w:b/>
          <w:color w:val="C00000"/>
          <w:sz w:val="44"/>
          <w:szCs w:val="44"/>
        </w:rPr>
        <w:t>Descrizione bibliografica</w:t>
      </w:r>
    </w:p>
    <w:p w14:paraId="3AD8368C" w14:textId="42005CFA" w:rsidR="00D931AD" w:rsidRPr="006E2889" w:rsidRDefault="00D931AD" w:rsidP="006E2889">
      <w:pPr>
        <w:suppressAutoHyphens w:val="0"/>
        <w:jc w:val="both"/>
        <w:rPr>
          <w:rFonts w:asciiTheme="minorHAnsi" w:hAnsiTheme="minorHAnsi" w:cstheme="minorHAnsi"/>
          <w:sz w:val="22"/>
          <w:szCs w:val="22"/>
        </w:rPr>
      </w:pPr>
      <w:r w:rsidRPr="006E2889">
        <w:rPr>
          <w:rFonts w:asciiTheme="minorHAnsi" w:hAnsiTheme="minorHAnsi" w:cstheme="minorHAnsi"/>
          <w:b/>
          <w:sz w:val="22"/>
          <w:szCs w:val="22"/>
        </w:rPr>
        <w:t>*DT : *Rivista italiana di diritto del turismo</w:t>
      </w:r>
      <w:r w:rsidRPr="006E2889">
        <w:rPr>
          <w:rFonts w:asciiTheme="minorHAnsi" w:hAnsiTheme="minorHAnsi" w:cstheme="minorHAnsi"/>
          <w:sz w:val="22"/>
          <w:szCs w:val="22"/>
        </w:rPr>
        <w:t xml:space="preserve">. - 1 (2011)-    . - Milano : </w:t>
      </w:r>
      <w:r w:rsidRPr="006E2889">
        <w:rPr>
          <w:rFonts w:asciiTheme="minorHAnsi" w:hAnsiTheme="minorHAnsi" w:cstheme="minorHAnsi"/>
          <w:sz w:val="22"/>
          <w:szCs w:val="22"/>
        </w:rPr>
        <w:t>Franco</w:t>
      </w:r>
      <w:r w:rsidRPr="006E2889">
        <w:rPr>
          <w:rFonts w:asciiTheme="minorHAnsi" w:hAnsiTheme="minorHAnsi" w:cstheme="minorHAnsi"/>
          <w:sz w:val="22"/>
          <w:szCs w:val="22"/>
        </w:rPr>
        <w:t xml:space="preserve">Angeli, 2011-    . - volumi ; 30 cm. ((Semestrale. - Organo ufficiale della Società italiana di diritto del turismo. - </w:t>
      </w:r>
      <w:r w:rsidR="006E2889" w:rsidRPr="006E2889">
        <w:rPr>
          <w:rFonts w:asciiTheme="minorHAnsi" w:hAnsiTheme="minorHAnsi" w:cstheme="minorHAnsi"/>
          <w:sz w:val="22"/>
          <w:szCs w:val="22"/>
        </w:rPr>
        <w:t>Dal 2017: 23 cm</w:t>
      </w:r>
      <w:r w:rsidR="006E2889" w:rsidRPr="006E2889">
        <w:rPr>
          <w:rFonts w:asciiTheme="minorHAnsi" w:hAnsiTheme="minorHAnsi" w:cstheme="minorHAnsi"/>
          <w:sz w:val="22"/>
          <w:szCs w:val="22"/>
        </w:rPr>
        <w:t>. –</w:t>
      </w:r>
      <w:r w:rsidR="006E2889" w:rsidRPr="006E2889">
        <w:rPr>
          <w:rStyle w:val="Enfasigrassetto"/>
          <w:rFonts w:asciiTheme="minorHAnsi" w:hAnsiTheme="minorHAnsi" w:cstheme="minorHAnsi"/>
          <w:sz w:val="22"/>
          <w:szCs w:val="22"/>
        </w:rPr>
        <w:t xml:space="preserve"> </w:t>
      </w:r>
      <w:r w:rsidR="006E2889" w:rsidRPr="006E2889">
        <w:rPr>
          <w:rStyle w:val="Enfasigrassetto"/>
          <w:rFonts w:asciiTheme="minorHAnsi" w:hAnsiTheme="minorHAnsi" w:cstheme="minorHAnsi"/>
          <w:b w:val="0"/>
          <w:bCs w:val="0"/>
          <w:sz w:val="22"/>
          <w:szCs w:val="22"/>
        </w:rPr>
        <w:t xml:space="preserve">Disponibile anche online </w:t>
      </w:r>
      <w:r w:rsidR="00A20A54">
        <w:rPr>
          <w:rStyle w:val="Enfasigrassetto"/>
          <w:rFonts w:asciiTheme="minorHAnsi" w:hAnsiTheme="minorHAnsi" w:cstheme="minorHAnsi"/>
          <w:b w:val="0"/>
          <w:bCs w:val="0"/>
          <w:sz w:val="22"/>
          <w:szCs w:val="22"/>
        </w:rPr>
        <w:t>su licenza</w:t>
      </w:r>
      <w:r w:rsidR="006E2889" w:rsidRPr="006E2889">
        <w:rPr>
          <w:rStyle w:val="Enfasigrassetto"/>
          <w:rFonts w:asciiTheme="minorHAnsi" w:hAnsiTheme="minorHAnsi" w:cstheme="minorHAnsi"/>
          <w:b w:val="0"/>
          <w:bCs w:val="0"/>
          <w:sz w:val="22"/>
          <w:szCs w:val="22"/>
        </w:rPr>
        <w:t xml:space="preserve"> </w:t>
      </w:r>
      <w:r w:rsidR="00A20A54">
        <w:rPr>
          <w:rStyle w:val="Enfasigrassetto"/>
          <w:rFonts w:asciiTheme="minorHAnsi" w:hAnsiTheme="minorHAnsi" w:cstheme="minorHAnsi"/>
          <w:b w:val="0"/>
          <w:bCs w:val="0"/>
          <w:sz w:val="22"/>
          <w:szCs w:val="22"/>
        </w:rPr>
        <w:t xml:space="preserve">a pagamento </w:t>
      </w:r>
      <w:r w:rsidR="006E2889" w:rsidRPr="006E2889">
        <w:rPr>
          <w:rStyle w:val="Enfasigrassetto"/>
          <w:rFonts w:asciiTheme="minorHAnsi" w:hAnsiTheme="minorHAnsi" w:cstheme="minorHAnsi"/>
          <w:b w:val="0"/>
          <w:bCs w:val="0"/>
          <w:sz w:val="22"/>
          <w:szCs w:val="22"/>
        </w:rPr>
        <w:t xml:space="preserve">a: </w:t>
      </w:r>
      <w:hyperlink r:id="rId7" w:history="1">
        <w:r w:rsidR="006E2889" w:rsidRPr="006E2889">
          <w:rPr>
            <w:rStyle w:val="Collegamentoipertestuale"/>
            <w:rFonts w:asciiTheme="minorHAnsi" w:hAnsiTheme="minorHAnsi" w:cstheme="minorHAnsi"/>
            <w:sz w:val="22"/>
            <w:szCs w:val="22"/>
          </w:rPr>
          <w:t>https://www.torrossa.com/it/resources/an/2443612?digital=true</w:t>
        </w:r>
      </w:hyperlink>
      <w:r w:rsidR="006E2889" w:rsidRPr="006E2889">
        <w:rPr>
          <w:rStyle w:val="Enfasigrassetto"/>
          <w:rFonts w:asciiTheme="minorHAnsi" w:hAnsiTheme="minorHAnsi" w:cstheme="minorHAnsi"/>
          <w:sz w:val="22"/>
          <w:szCs w:val="22"/>
        </w:rPr>
        <w:t xml:space="preserve">. - </w:t>
      </w:r>
      <w:r w:rsidR="006E2889" w:rsidRPr="006E2889">
        <w:rPr>
          <w:rFonts w:asciiTheme="minorHAnsi" w:hAnsiTheme="minorHAnsi" w:cstheme="minorHAnsi"/>
          <w:sz w:val="22"/>
          <w:szCs w:val="22"/>
          <w:lang w:eastAsia="it-IT"/>
        </w:rPr>
        <w:t>ISSN 2039-9022</w:t>
      </w:r>
      <w:r w:rsidR="006E2889" w:rsidRPr="006E2889">
        <w:rPr>
          <w:rFonts w:asciiTheme="minorHAnsi" w:hAnsiTheme="minorHAnsi" w:cstheme="minorHAnsi"/>
          <w:sz w:val="22"/>
          <w:szCs w:val="22"/>
          <w:lang w:eastAsia="it-IT"/>
        </w:rPr>
        <w:t xml:space="preserve">; </w:t>
      </w:r>
      <w:r w:rsidR="006E2889" w:rsidRPr="006E2889">
        <w:rPr>
          <w:rFonts w:asciiTheme="minorHAnsi" w:hAnsiTheme="minorHAnsi" w:cstheme="minorHAnsi"/>
          <w:sz w:val="22"/>
          <w:szCs w:val="22"/>
          <w:lang w:eastAsia="it-IT"/>
        </w:rPr>
        <w:t>2039-9391 online</w:t>
      </w:r>
      <w:r w:rsidR="006E2889" w:rsidRPr="006E2889">
        <w:rPr>
          <w:rFonts w:asciiTheme="minorHAnsi" w:hAnsiTheme="minorHAnsi" w:cstheme="minorHAnsi"/>
          <w:sz w:val="22"/>
          <w:szCs w:val="22"/>
          <w:lang w:eastAsia="it-IT"/>
        </w:rPr>
        <w:t xml:space="preserve">. - </w:t>
      </w:r>
      <w:r w:rsidR="006E2889" w:rsidRPr="006E2889">
        <w:rPr>
          <w:rFonts w:asciiTheme="minorHAnsi" w:hAnsiTheme="minorHAnsi" w:cstheme="minorHAnsi"/>
          <w:sz w:val="22"/>
          <w:szCs w:val="22"/>
          <w:lang w:eastAsia="it-IT"/>
        </w:rPr>
        <w:t>ACNP P 00212863</w:t>
      </w:r>
      <w:r w:rsidR="006E2889" w:rsidRPr="006E2889">
        <w:rPr>
          <w:rFonts w:asciiTheme="minorHAnsi" w:hAnsiTheme="minorHAnsi" w:cstheme="minorHAnsi"/>
          <w:sz w:val="22"/>
          <w:szCs w:val="22"/>
          <w:lang w:eastAsia="it-IT"/>
        </w:rPr>
        <w:t xml:space="preserve">. - </w:t>
      </w:r>
      <w:r w:rsidR="006E2889" w:rsidRPr="006E2889">
        <w:rPr>
          <w:rFonts w:asciiTheme="minorHAnsi" w:hAnsiTheme="minorHAnsi" w:cstheme="minorHAnsi"/>
          <w:sz w:val="22"/>
          <w:szCs w:val="22"/>
          <w:lang w:eastAsia="it-IT"/>
        </w:rPr>
        <w:t>BNI 2011-60S</w:t>
      </w:r>
      <w:r w:rsidR="006E2889" w:rsidRPr="006E2889">
        <w:rPr>
          <w:rFonts w:asciiTheme="minorHAnsi" w:hAnsiTheme="minorHAnsi" w:cstheme="minorHAnsi"/>
          <w:sz w:val="22"/>
          <w:szCs w:val="22"/>
          <w:lang w:eastAsia="it-IT"/>
        </w:rPr>
        <w:t xml:space="preserve">. - </w:t>
      </w:r>
      <w:r w:rsidRPr="006E2889">
        <w:rPr>
          <w:rFonts w:asciiTheme="minorHAnsi" w:hAnsiTheme="minorHAnsi" w:cstheme="minorHAnsi"/>
          <w:sz w:val="22"/>
          <w:szCs w:val="22"/>
        </w:rPr>
        <w:t>BVE0542076</w:t>
      </w:r>
    </w:p>
    <w:p w14:paraId="13B17A1F" w14:textId="77777777" w:rsidR="00D931AD" w:rsidRPr="006E2889" w:rsidRDefault="00D931AD" w:rsidP="00D931AD">
      <w:pPr>
        <w:jc w:val="both"/>
        <w:rPr>
          <w:rFonts w:asciiTheme="minorHAnsi" w:hAnsiTheme="minorHAnsi" w:cstheme="minorHAnsi"/>
          <w:sz w:val="22"/>
          <w:szCs w:val="22"/>
        </w:rPr>
      </w:pPr>
      <w:r w:rsidRPr="006E2889">
        <w:rPr>
          <w:rFonts w:asciiTheme="minorHAnsi" w:hAnsiTheme="minorHAnsi" w:cstheme="minorHAnsi"/>
          <w:sz w:val="22"/>
          <w:szCs w:val="22"/>
        </w:rPr>
        <w:t>Autore: Società italiana di diritto del turismo</w:t>
      </w:r>
    </w:p>
    <w:p w14:paraId="1AA6A1E6" w14:textId="092B6145" w:rsidR="00D931AD" w:rsidRPr="006E2889" w:rsidRDefault="00D931AD" w:rsidP="00D931AD">
      <w:pPr>
        <w:jc w:val="both"/>
        <w:rPr>
          <w:rFonts w:asciiTheme="minorHAnsi" w:hAnsiTheme="minorHAnsi" w:cstheme="minorHAnsi"/>
          <w:sz w:val="22"/>
          <w:szCs w:val="22"/>
        </w:rPr>
      </w:pPr>
      <w:r w:rsidRPr="006E2889">
        <w:rPr>
          <w:rFonts w:asciiTheme="minorHAnsi" w:hAnsiTheme="minorHAnsi" w:cstheme="minorHAnsi"/>
          <w:sz w:val="22"/>
          <w:szCs w:val="22"/>
        </w:rPr>
        <w:t xml:space="preserve">Soggetto: Turismo </w:t>
      </w:r>
      <w:r w:rsidR="006E2889" w:rsidRPr="006E2889">
        <w:rPr>
          <w:rFonts w:asciiTheme="minorHAnsi" w:hAnsiTheme="minorHAnsi" w:cstheme="minorHAnsi"/>
          <w:sz w:val="22"/>
          <w:szCs w:val="22"/>
        </w:rPr>
        <w:t>- Diritto</w:t>
      </w:r>
      <w:r w:rsidRPr="006E2889">
        <w:rPr>
          <w:rFonts w:asciiTheme="minorHAnsi" w:hAnsiTheme="minorHAnsi" w:cstheme="minorHAnsi"/>
          <w:sz w:val="22"/>
          <w:szCs w:val="22"/>
        </w:rPr>
        <w:t xml:space="preserve"> - Periodici</w:t>
      </w:r>
    </w:p>
    <w:p w14:paraId="059DB599" w14:textId="77777777" w:rsidR="00D931AD" w:rsidRPr="006E2889" w:rsidRDefault="00D931AD" w:rsidP="00D931AD">
      <w:pPr>
        <w:jc w:val="both"/>
        <w:rPr>
          <w:rFonts w:asciiTheme="minorHAnsi" w:hAnsiTheme="minorHAnsi" w:cstheme="minorHAnsi"/>
          <w:sz w:val="22"/>
          <w:szCs w:val="22"/>
        </w:rPr>
      </w:pPr>
      <w:r w:rsidRPr="006E2889">
        <w:rPr>
          <w:rFonts w:asciiTheme="minorHAnsi" w:hAnsiTheme="minorHAnsi" w:cstheme="minorHAnsi"/>
          <w:sz w:val="22"/>
          <w:szCs w:val="22"/>
        </w:rPr>
        <w:t>Classe: D343.450789105</w:t>
      </w:r>
    </w:p>
    <w:p w14:paraId="351231D9" w14:textId="77777777" w:rsidR="00D931AD" w:rsidRDefault="00D931AD" w:rsidP="00D931AD">
      <w:pPr>
        <w:jc w:val="both"/>
        <w:rPr>
          <w:rFonts w:ascii="Calibri" w:hAnsi="Calibri" w:cs="Calibri"/>
          <w:sz w:val="22"/>
          <w:szCs w:val="22"/>
        </w:rPr>
      </w:pPr>
    </w:p>
    <w:p w14:paraId="7DCDEA39" w14:textId="77777777" w:rsidR="00D931AD" w:rsidRPr="00FA4905" w:rsidRDefault="00D931AD" w:rsidP="00D931AD">
      <w:pPr>
        <w:jc w:val="both"/>
        <w:rPr>
          <w:rFonts w:asciiTheme="minorHAnsi" w:hAnsiTheme="minorHAnsi" w:cstheme="minorHAnsi"/>
          <w:b/>
          <w:color w:val="C00000"/>
          <w:sz w:val="44"/>
          <w:szCs w:val="44"/>
        </w:rPr>
      </w:pPr>
      <w:bookmarkStart w:id="0" w:name="_Hlk145649622"/>
      <w:r w:rsidRPr="00FA4905">
        <w:rPr>
          <w:rFonts w:asciiTheme="minorHAnsi" w:hAnsiTheme="minorHAnsi" w:cstheme="minorHAnsi"/>
          <w:b/>
          <w:color w:val="C00000"/>
          <w:sz w:val="44"/>
          <w:szCs w:val="44"/>
        </w:rPr>
        <w:t>Informazioni storico-bibliografiche</w:t>
      </w:r>
    </w:p>
    <w:bookmarkEnd w:id="0"/>
    <w:p w14:paraId="59CBE502" w14:textId="77777777" w:rsidR="00A20A54" w:rsidRPr="00A20A54" w:rsidRDefault="00A20A54" w:rsidP="00A20A54">
      <w:pPr>
        <w:suppressAutoHyphens w:val="0"/>
        <w:jc w:val="both"/>
        <w:rPr>
          <w:rFonts w:asciiTheme="minorHAnsi" w:hAnsiTheme="minorHAnsi" w:cstheme="minorHAnsi"/>
          <w:b/>
          <w:bCs/>
          <w:sz w:val="20"/>
          <w:szCs w:val="20"/>
          <w:lang w:eastAsia="it-IT"/>
        </w:rPr>
      </w:pPr>
      <w:r w:rsidRPr="00A20A54">
        <w:rPr>
          <w:rFonts w:asciiTheme="minorHAnsi" w:hAnsiTheme="minorHAnsi" w:cstheme="minorHAnsi"/>
          <w:b/>
          <w:bCs/>
          <w:sz w:val="20"/>
          <w:szCs w:val="20"/>
          <w:lang w:eastAsia="it-IT"/>
        </w:rPr>
        <w:t>Canoni 2023</w:t>
      </w:r>
    </w:p>
    <w:p w14:paraId="7E1D57C9" w14:textId="77777777" w:rsidR="00A20A54" w:rsidRPr="00A20A54" w:rsidRDefault="00A20A54" w:rsidP="00A20A54">
      <w:pPr>
        <w:suppressAutoHyphens w:val="0"/>
        <w:jc w:val="both"/>
        <w:rPr>
          <w:rFonts w:asciiTheme="minorHAnsi" w:hAnsiTheme="minorHAnsi" w:cstheme="minorHAnsi"/>
          <w:sz w:val="20"/>
          <w:szCs w:val="20"/>
          <w:lang w:eastAsia="it-IT"/>
        </w:rPr>
      </w:pPr>
      <w:r w:rsidRPr="00A20A54">
        <w:rPr>
          <w:rFonts w:asciiTheme="minorHAnsi" w:hAnsiTheme="minorHAnsi" w:cstheme="minorHAnsi"/>
          <w:sz w:val="20"/>
          <w:szCs w:val="20"/>
          <w:lang w:eastAsia="it-IT"/>
        </w:rPr>
        <w:t>Biblioteche, Enti, Società</w:t>
      </w:r>
    </w:p>
    <w:p w14:paraId="46BDC6F6" w14:textId="77777777" w:rsidR="00A20A54" w:rsidRPr="00A20A54" w:rsidRDefault="00A20A54" w:rsidP="00A20A54">
      <w:pPr>
        <w:numPr>
          <w:ilvl w:val="0"/>
          <w:numId w:val="1"/>
        </w:numPr>
        <w:suppressAutoHyphens w:val="0"/>
        <w:jc w:val="both"/>
        <w:rPr>
          <w:rFonts w:asciiTheme="minorHAnsi" w:hAnsiTheme="minorHAnsi" w:cstheme="minorHAnsi"/>
          <w:sz w:val="20"/>
          <w:szCs w:val="20"/>
          <w:lang w:eastAsia="it-IT"/>
        </w:rPr>
      </w:pPr>
      <w:r w:rsidRPr="00A20A54">
        <w:rPr>
          <w:rFonts w:asciiTheme="minorHAnsi" w:hAnsiTheme="minorHAnsi" w:cstheme="minorHAnsi"/>
          <w:sz w:val="20"/>
          <w:szCs w:val="20"/>
          <w:lang w:eastAsia="it-IT"/>
        </w:rPr>
        <w:t>cartaceo Italia (IVA inclusa) 221,50</w:t>
      </w:r>
    </w:p>
    <w:p w14:paraId="79869877" w14:textId="77777777" w:rsidR="00A20A54" w:rsidRPr="00A20A54" w:rsidRDefault="00A20A54" w:rsidP="00A20A54">
      <w:pPr>
        <w:numPr>
          <w:ilvl w:val="0"/>
          <w:numId w:val="1"/>
        </w:numPr>
        <w:suppressAutoHyphens w:val="0"/>
        <w:jc w:val="both"/>
        <w:rPr>
          <w:rFonts w:asciiTheme="minorHAnsi" w:hAnsiTheme="minorHAnsi" w:cstheme="minorHAnsi"/>
          <w:sz w:val="20"/>
          <w:szCs w:val="20"/>
          <w:lang w:eastAsia="it-IT"/>
        </w:rPr>
      </w:pPr>
      <w:r w:rsidRPr="00A20A54">
        <w:rPr>
          <w:rFonts w:asciiTheme="minorHAnsi" w:hAnsiTheme="minorHAnsi" w:cstheme="minorHAnsi"/>
          <w:sz w:val="20"/>
          <w:szCs w:val="20"/>
          <w:lang w:eastAsia="it-IT"/>
        </w:rPr>
        <w:t>cartaceo Estero (IVA inclusa) 261,00</w:t>
      </w:r>
    </w:p>
    <w:p w14:paraId="3B9409E9" w14:textId="77777777" w:rsidR="00A20A54" w:rsidRPr="00A20A54" w:rsidRDefault="00A20A54" w:rsidP="00A20A54">
      <w:pPr>
        <w:numPr>
          <w:ilvl w:val="0"/>
          <w:numId w:val="1"/>
        </w:numPr>
        <w:suppressAutoHyphens w:val="0"/>
        <w:jc w:val="both"/>
        <w:rPr>
          <w:rFonts w:asciiTheme="minorHAnsi" w:hAnsiTheme="minorHAnsi" w:cstheme="minorHAnsi"/>
          <w:sz w:val="20"/>
          <w:szCs w:val="20"/>
          <w:lang w:eastAsia="it-IT"/>
        </w:rPr>
      </w:pPr>
      <w:r w:rsidRPr="00A20A54">
        <w:rPr>
          <w:rFonts w:asciiTheme="minorHAnsi" w:hAnsiTheme="minorHAnsi" w:cstheme="minorHAnsi"/>
          <w:sz w:val="20"/>
          <w:szCs w:val="20"/>
          <w:lang w:eastAsia="it-IT"/>
        </w:rPr>
        <w:t>solo online (IVA esclusa) 243,00</w:t>
      </w:r>
    </w:p>
    <w:p w14:paraId="387EFFD0" w14:textId="0E3416B8" w:rsidR="0031062F" w:rsidRPr="00A20A54" w:rsidRDefault="00A20A54" w:rsidP="00A20A54">
      <w:pPr>
        <w:jc w:val="both"/>
        <w:rPr>
          <w:rFonts w:asciiTheme="minorHAnsi" w:hAnsiTheme="minorHAnsi" w:cstheme="minorHAnsi"/>
          <w:sz w:val="20"/>
          <w:szCs w:val="20"/>
        </w:rPr>
      </w:pPr>
      <w:r w:rsidRPr="00A20A54">
        <w:rPr>
          <w:rFonts w:asciiTheme="minorHAnsi" w:hAnsiTheme="minorHAnsi" w:cstheme="minorHAnsi"/>
          <w:sz w:val="20"/>
          <w:szCs w:val="20"/>
        </w:rPr>
        <w:t xml:space="preserve">l diritto del turismo si impone al nuovo millennio con una rinnovata vitalità. L’intervento comunitario influenza con sempre maggiore incisività gli ordinamenti nazionali prefigurando la creazione di un vero e proprio "spazio turistico comunitario". A livello nazionale, l’organizzazione turistica regionale è messa alla prova da forti spinte centralistiche, mentre il sistema di governo del turismo attende ancora di conoscere il suo assetto definitivo. In questo contesto, acquista un’importanza crescente la definizione dei confini e dei limiti dell’intervento pubblico, anche in relazione alla individuazione delle competenze degli organi di controllo del mercato. Le modalità tradizionali di vacanza sono state affiancate da nuove tipologie di turismo e da formule originali di offerta, dirette a soddisfare esigenze diverse. L’affermarsi delle nuove tecnologie ha imposto un adeguamento degli strumenti giuridici, mentre la società dell’informazione, della comunicazione e dell’immagine ha trasformato i modelli di business e i rapporti tra i soggetti interessati. L’organizzazione dei servizi turistici ha raggiunto livelli elevati di professionalità e gli operatori giuridici sono ora chiamati a dare risposte efficaci a questioni tanto delicate quanto eterogenee. Il diritto del turismo ha irradiato la sua influenza nel diritto commerciale e nel diritto agrario, correggendo la nozione tradizionale di imprenditore agricolo per ampliarne il significato e la portata al fenomeno dell’agriturismo. Ha inciso anche sul diritto processuale, anticipando l’attuale favore per i metodi di risoluzione alternativa delle controversie. In questo contesto, evoluto e dinamico, la nuova Rivista intende offrire uno strumento completo ed efficace per orientarsi in un settore che continuamente allarga i propri orizzonti. Si rivolge ai professionisti del diritto e agli operatori turistici, interessati a disporre di soluzioni concrete e risposte immediate per l’esercizio dell’attività imprenditoriale e l’assistenza legale. Presenta i contratti, i documenti e i materiali che si affermano nell’esperienza, riservando una particolare attenzione </w:t>
      </w:r>
      <w:r w:rsidRPr="00A20A54">
        <w:rPr>
          <w:rFonts w:asciiTheme="minorHAnsi" w:hAnsiTheme="minorHAnsi" w:cstheme="minorHAnsi"/>
          <w:sz w:val="20"/>
          <w:szCs w:val="20"/>
        </w:rPr>
        <w:lastRenderedPageBreak/>
        <w:t xml:space="preserve">alle esigenze di tutela dei consumatori. Guarda con attenzione all’esperienza delle pubbliche amministrazioni, impegnate nel governo del territorio e nella gestione dei fenomeni socio-economici. Assicura un’informazione puntuale sull’azione dei protagonisti della politica turistica (specie delle Regioni e dell’Unione Europea), individuando le principali prassi amministrative e affrontando le questioni tributarie. Intende contribuire allo sviluppo dell’insegnamento universitario e della ricerca scientifica attraverso l’approfondimento dei temi di maggior interesse e la rilettura critica delle più significative decisioni giurisprudenziali. </w:t>
      </w:r>
      <w:r w:rsidRPr="00A20A54">
        <w:rPr>
          <w:rStyle w:val="Enfasicorsivo"/>
          <w:rFonts w:asciiTheme="minorHAnsi" w:hAnsiTheme="minorHAnsi" w:cstheme="minorHAnsi"/>
          <w:sz w:val="20"/>
          <w:szCs w:val="20"/>
        </w:rPr>
        <w:t>La Rivista</w:t>
      </w:r>
      <w:r w:rsidRPr="00A20A54">
        <w:rPr>
          <w:rFonts w:asciiTheme="minorHAnsi" w:hAnsiTheme="minorHAnsi" w:cstheme="minorHAnsi"/>
          <w:sz w:val="20"/>
          <w:szCs w:val="20"/>
        </w:rPr>
        <w:t xml:space="preserve"> si avvale del prestigioso contributo scientifico e della preziosa esperienza di numerosi Collaboratori italiani e stranieri, che si distinguono per la competenza e l’impegno con cui sempre hanno affrontato lo studio della materia.</w:t>
      </w:r>
      <w:r w:rsidRPr="00A20A54">
        <w:rPr>
          <w:rFonts w:asciiTheme="minorHAnsi" w:hAnsiTheme="minorHAnsi" w:cstheme="minorHAnsi"/>
          <w:sz w:val="20"/>
          <w:szCs w:val="20"/>
        </w:rPr>
        <w:t xml:space="preserve"> </w:t>
      </w:r>
    </w:p>
    <w:p w14:paraId="6AD985A9" w14:textId="77777777" w:rsidR="00A20A54" w:rsidRDefault="00A20A54" w:rsidP="00A20A54">
      <w:pPr>
        <w:jc w:val="both"/>
        <w:rPr>
          <w:rFonts w:asciiTheme="minorHAnsi" w:hAnsiTheme="minorHAnsi" w:cstheme="minorHAnsi"/>
          <w:sz w:val="20"/>
          <w:szCs w:val="20"/>
        </w:rPr>
      </w:pPr>
      <w:r w:rsidRPr="00A20A54">
        <w:rPr>
          <w:rStyle w:val="Enfasigrassetto"/>
          <w:rFonts w:asciiTheme="minorHAnsi" w:hAnsiTheme="minorHAnsi" w:cstheme="minorHAnsi"/>
          <w:sz w:val="20"/>
          <w:szCs w:val="20"/>
        </w:rPr>
        <w:t>Direttore responsabile - Editor in Chief:</w:t>
      </w:r>
      <w:r w:rsidRPr="00A20A54">
        <w:rPr>
          <w:rFonts w:asciiTheme="minorHAnsi" w:hAnsiTheme="minorHAnsi" w:cstheme="minorHAnsi"/>
          <w:sz w:val="20"/>
          <w:szCs w:val="20"/>
        </w:rPr>
        <w:t xml:space="preserve"> Prof. Francesco Morandi, Università di Sassari.</w:t>
      </w:r>
    </w:p>
    <w:p w14:paraId="76DF0EB5" w14:textId="35E99C5B" w:rsidR="00A20A54" w:rsidRPr="00A20A54" w:rsidRDefault="00A20A54" w:rsidP="00A20A54">
      <w:pPr>
        <w:jc w:val="both"/>
        <w:rPr>
          <w:rFonts w:asciiTheme="minorHAnsi" w:hAnsiTheme="minorHAnsi" w:cstheme="minorHAnsi"/>
          <w:sz w:val="20"/>
          <w:szCs w:val="20"/>
        </w:rPr>
      </w:pPr>
      <w:r w:rsidRPr="00A20A54">
        <w:rPr>
          <w:rStyle w:val="Enfasigrassetto"/>
          <w:rFonts w:asciiTheme="minorHAnsi" w:hAnsiTheme="minorHAnsi" w:cstheme="minorHAnsi"/>
          <w:sz w:val="20"/>
          <w:szCs w:val="20"/>
        </w:rPr>
        <w:t>Direttori - Editors:</w:t>
      </w:r>
      <w:r w:rsidRPr="00A20A54">
        <w:rPr>
          <w:rFonts w:asciiTheme="minorHAnsi" w:hAnsiTheme="minorHAnsi" w:cstheme="minorHAnsi"/>
          <w:sz w:val="20"/>
          <w:szCs w:val="20"/>
        </w:rPr>
        <w:t xml:space="preserve"> Alfredo Antonini, Università di Udine; Roberto Bocchini, Università di Napoli "Parthenope"; Silvio Busti, Università di Bergamo; Michele M. Comenale, Università di Sassari; Vincenzo Cuffaro, Università di Roma Tre; Gian Candido De Martin, LUISS di Roma; Giorgio De Nova, Università Statale di Milano; Massimo Deiana, Università di Cagliari; Lorenzo del Federico, Università di Chieti-Pescara; Francesco Delfini, Università Statale di Milano; Domenico D’Orsogna, Università di Sassari; Vincenzo Franceschelli, Università di Milano-Bicocca; Marco Gestri, Università di Modena e Reggio Emilia; Enrico Gragnoli, Università di Parma; Carlo Ibba, Università di Sassari; Mariaenza La Torre, Corte Suprema di Cassazione; Maurizio Malo, Università di Padova; Alessandro Melchionda, Università di Trento; Guido Meloni, Università del Molise; Vincenzo Zeno-Zencovich, Università di Roma Tre; Stefano Zunarelli, Università di Bologna.</w:t>
      </w:r>
    </w:p>
    <w:p w14:paraId="6696A030" w14:textId="77777777" w:rsidR="00A20A54" w:rsidRPr="00A20A54" w:rsidRDefault="00A20A54" w:rsidP="00A20A54">
      <w:pPr>
        <w:jc w:val="both"/>
        <w:rPr>
          <w:rFonts w:asciiTheme="minorHAnsi" w:hAnsiTheme="minorHAnsi" w:cstheme="minorHAnsi"/>
          <w:sz w:val="20"/>
          <w:szCs w:val="20"/>
        </w:rPr>
      </w:pPr>
      <w:r w:rsidRPr="00A20A54">
        <w:rPr>
          <w:rStyle w:val="Enfasigrassetto"/>
          <w:rFonts w:asciiTheme="minorHAnsi" w:hAnsiTheme="minorHAnsi" w:cstheme="minorHAnsi"/>
          <w:sz w:val="20"/>
          <w:szCs w:val="20"/>
        </w:rPr>
        <w:t>Comitato scientifico - Scientific Board:</w:t>
      </w:r>
      <w:r w:rsidRPr="00A20A54">
        <w:rPr>
          <w:rFonts w:asciiTheme="minorHAnsi" w:hAnsiTheme="minorHAnsi" w:cstheme="minorHAnsi"/>
          <w:sz w:val="20"/>
          <w:szCs w:val="20"/>
        </w:rPr>
        <w:t xml:space="preserve"> Chiara Alvisi, Università di Bologna; Luca Ancis, Università di Cagliari; Gianfranco Benelli, Università di Sassari; Monica Brignardello, Università di Genova; Roberto Calvo, Università di Torino; Lisia Carota, Università di Chieti- Pescara; Federico Casolari, Università di Bologna; Giuseppe Colangelo, Università della Basilicata; Valentina Corona, Università di Cagliari; Alessandra Corrado, Università di Milano-Bicocca; Fabio Corvaja, Università di Padova; Sara d’Urso, Università di Milano-Bicocca; Lidianna Degrassi, Università di Milano-Bicocca; Massimo Fragola, Università della Calabria; Umberto Izzo, Università di Trento; Margherita Lazzara, Università di Catania; Marco Lopez de Gonzalo, Università Statale di Milano; Alessandra Magliaro, Università di Trento; Anna Maria Mancaleoni, Università di Cagliari; Laura Masala, Università di Sassari; Matteo Montanari, LUM di Bari; Antonio Musio, Università di Salerno; Andrea Nervi, Università di Sassari; Assunta Nocerino, Università Cattolica del Sacro Cuore di Milano; Elena Orrù, Università di Bologna; Massimiliano Piras, Università di Cagliari; Stefano Pollastrelli, Università di Macerata; Annarita Ricci, Università di Chieti-Pescara; Luca Righi, Università di Pisa; Alessandra Romagnoli, Università di Bologna; Elisabetta Rosafio, Università di Teramo; Vincenzo Satta, Università Cattolica del Sacro Cuore di Milano; Cecilia Severoni, Università di Udine; Nicola Soldati, Università di Bologna-Rimini; Giorgia Tassoni, Università di Milano-Bicocca; Chiara Tincani, Università di Verona; Fabio Toriello, Università di Sassari; Angelo Venchiarutti, Università di Trieste; Alberta Leonarda Vergine, Università di Pavia; Simone Vernizzi, Università di Modena e Reggio Emilia; Caterina Verrigni, Università di Chieti- Pescara; Carla Vignali, Università di Milano-Bicocca.</w:t>
      </w:r>
    </w:p>
    <w:p w14:paraId="60DEC658" w14:textId="77777777" w:rsidR="00A20A54" w:rsidRPr="00A20A54" w:rsidRDefault="00A20A54" w:rsidP="00A20A54">
      <w:pPr>
        <w:jc w:val="both"/>
        <w:rPr>
          <w:rFonts w:asciiTheme="minorHAnsi" w:hAnsiTheme="minorHAnsi" w:cstheme="minorHAnsi"/>
          <w:sz w:val="20"/>
          <w:szCs w:val="20"/>
        </w:rPr>
      </w:pPr>
      <w:r w:rsidRPr="00A20A54">
        <w:rPr>
          <w:rStyle w:val="Enfasigrassetto"/>
          <w:rFonts w:asciiTheme="minorHAnsi" w:hAnsiTheme="minorHAnsi" w:cstheme="minorHAnsi"/>
          <w:sz w:val="20"/>
          <w:szCs w:val="20"/>
        </w:rPr>
        <w:t>Comitato scientifico internazionale - International Scientific Board:</w:t>
      </w:r>
      <w:r w:rsidRPr="00A20A54">
        <w:rPr>
          <w:rFonts w:asciiTheme="minorHAnsi" w:hAnsiTheme="minorHAnsi" w:cstheme="minorHAnsi"/>
          <w:sz w:val="20"/>
          <w:szCs w:val="20"/>
        </w:rPr>
        <w:t xml:space="preserve"> JéAnna L. Abbott, University of Houston (USA); Ardyllis Alves Soares, Centro Univérsitario de Brasilia (Brasil); Josep Maria Bech Serrat, Universitat de Girona (España); Diego Augusto Benitez, Universidad Nacional de Río Negro (Argentina); Piotr Cybula, Zaklad Prawa. Akademia Wychowania Fizycznego w Krakowie (Polska); Mateo Estrella Durán, Universidad de Cuenca (Ecuador); Robert Force, Tulane University Law School, New Orléans (USA); Christian Hardigree, Metropolitan State University of Denver (USA); Stephan Keiler, Vienna (Austria); Jean Paul Markus, Université de Versailles (France); Marc McDonald, Dublin Institute of Technology (Ireland); Ventura Enrique Mota Flores, Universidad del Caribe, Cancun (Mexico); José Tudela Aranda, Universidad de Zaragoza (España); William Werner, University of Nevada, Las Vegas (USA); Carlos Torres, Escola Superior de Hotelaria e Turismo do Estoril - ESHTE, Lisboa (Portugal).</w:t>
      </w:r>
    </w:p>
    <w:p w14:paraId="27D82EF7" w14:textId="77777777" w:rsidR="00A20A54" w:rsidRPr="00A20A54" w:rsidRDefault="00A20A54" w:rsidP="00A20A54">
      <w:pPr>
        <w:jc w:val="both"/>
        <w:rPr>
          <w:rFonts w:asciiTheme="minorHAnsi" w:hAnsiTheme="minorHAnsi" w:cstheme="minorHAnsi"/>
          <w:sz w:val="20"/>
          <w:szCs w:val="20"/>
        </w:rPr>
      </w:pPr>
      <w:r w:rsidRPr="00A20A54">
        <w:rPr>
          <w:rStyle w:val="Enfasigrassetto"/>
          <w:rFonts w:asciiTheme="minorHAnsi" w:hAnsiTheme="minorHAnsi" w:cstheme="minorHAnsi"/>
          <w:sz w:val="20"/>
          <w:szCs w:val="20"/>
        </w:rPr>
        <w:t>Comitato editoriale - Editorial Board:</w:t>
      </w:r>
      <w:r w:rsidRPr="00A20A54">
        <w:rPr>
          <w:rFonts w:asciiTheme="minorHAnsi" w:hAnsiTheme="minorHAnsi" w:cstheme="minorHAnsi"/>
          <w:sz w:val="20"/>
          <w:szCs w:val="20"/>
        </w:rPr>
        <w:t xml:space="preserve"> Luca Ancis, Università di Cagliari; Salvatore Bosa, Università di Catania; Alessio Claroni, Università di Trento; Mariafrancesca Cocuccio, Università di Catania; Rocco Lobianco, Università di Udine; Francesco Montanari, Università di Chieti- Pescara; Alceste Santuari, Università di Bologna.</w:t>
      </w:r>
    </w:p>
    <w:p w14:paraId="76C0A0CA" w14:textId="2B8E9478" w:rsidR="00A20A54" w:rsidRPr="00A20A54" w:rsidRDefault="00A20A54" w:rsidP="00A20A54">
      <w:pPr>
        <w:jc w:val="both"/>
        <w:rPr>
          <w:rFonts w:asciiTheme="minorHAnsi" w:hAnsiTheme="minorHAnsi" w:cstheme="minorHAnsi"/>
          <w:sz w:val="20"/>
          <w:szCs w:val="20"/>
        </w:rPr>
      </w:pPr>
      <w:r w:rsidRPr="00A20A54">
        <w:rPr>
          <w:rStyle w:val="Enfasigrassetto"/>
          <w:rFonts w:asciiTheme="minorHAnsi" w:hAnsiTheme="minorHAnsi" w:cstheme="minorHAnsi"/>
          <w:sz w:val="20"/>
          <w:szCs w:val="20"/>
        </w:rPr>
        <w:t>Comitato di redazione - Editorial Staff:</w:t>
      </w:r>
      <w:r w:rsidRPr="00A20A54">
        <w:rPr>
          <w:rFonts w:asciiTheme="minorHAnsi" w:hAnsiTheme="minorHAnsi" w:cstheme="minorHAnsi"/>
          <w:sz w:val="20"/>
          <w:szCs w:val="20"/>
        </w:rPr>
        <w:t xml:space="preserve"> Piergianni Addis; Simone Ariatti; Paolo Barabino; Federica Bonafaccia; Fabrizio Calisai; Pierguido Carmagnani; Alessio Costantini; Felice Cuzzilla; Massimiliano Dona; Iacopo Di Passio; Giusy Fiscella; Silvia Giorgi; Giovanni Liberati Buccianti; Federico Lucarelli; Michela Mazier; Eleonora Lenzoni Milli, Luisa Nicotera; Mattia Pellegrini; Stefano Piazza; Maria Isabella Pisanu; Fiorenza Prada; Flavio Rocchio; Stefania Rossi; Gianluca Rossoni; Veronica Sale; Luca Sisto; Giuseppe Spera; Marco Stucchi; Cristian Tosoratti; Laura Trovò; Luca Venturini; Valentina Viti.</w:t>
      </w:r>
      <w:r w:rsidRPr="00A20A54">
        <w:rPr>
          <w:rFonts w:asciiTheme="minorHAnsi" w:hAnsiTheme="minorHAnsi" w:cstheme="minorHAnsi"/>
          <w:sz w:val="20"/>
          <w:szCs w:val="20"/>
        </w:rPr>
        <w:t xml:space="preserve"> </w:t>
      </w:r>
      <w:hyperlink r:id="rId8" w:history="1">
        <w:r w:rsidRPr="00A20A54">
          <w:rPr>
            <w:rStyle w:val="Collegamentoipertestuale"/>
            <w:rFonts w:asciiTheme="minorHAnsi" w:hAnsiTheme="minorHAnsi" w:cstheme="minorHAnsi"/>
            <w:sz w:val="20"/>
            <w:szCs w:val="20"/>
          </w:rPr>
          <w:t>https://www.francoangeli.it/riviste/sommario.asp?IDRivista=167</w:t>
        </w:r>
      </w:hyperlink>
    </w:p>
    <w:p w14:paraId="4767534B" w14:textId="77777777" w:rsidR="00A20A54" w:rsidRPr="00A20A54" w:rsidRDefault="00A20A54">
      <w:pPr>
        <w:rPr>
          <w:sz w:val="20"/>
          <w:szCs w:val="20"/>
        </w:rPr>
      </w:pPr>
    </w:p>
    <w:sectPr w:rsidR="00A20A54" w:rsidRPr="00A20A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798"/>
    <w:multiLevelType w:val="multilevel"/>
    <w:tmpl w:val="F52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30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60FE"/>
    <w:rsid w:val="002760FE"/>
    <w:rsid w:val="0031062F"/>
    <w:rsid w:val="006E2889"/>
    <w:rsid w:val="00A20A54"/>
    <w:rsid w:val="00D931A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B27A"/>
  <w15:chartTrackingRefBased/>
  <w15:docId w15:val="{90BE90E5-3BFD-47D7-827B-C2577DD6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1A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E2889"/>
    <w:rPr>
      <w:b/>
      <w:bCs/>
    </w:rPr>
  </w:style>
  <w:style w:type="character" w:styleId="Collegamentoipertestuale">
    <w:name w:val="Hyperlink"/>
    <w:basedOn w:val="Carpredefinitoparagrafo"/>
    <w:uiPriority w:val="99"/>
    <w:unhideWhenUsed/>
    <w:rsid w:val="006E2889"/>
    <w:rPr>
      <w:color w:val="0000FF" w:themeColor="hyperlink"/>
      <w:u w:val="single"/>
    </w:rPr>
  </w:style>
  <w:style w:type="character" w:styleId="Menzionenonrisolta">
    <w:name w:val="Unresolved Mention"/>
    <w:basedOn w:val="Carpredefinitoparagrafo"/>
    <w:uiPriority w:val="99"/>
    <w:semiHidden/>
    <w:unhideWhenUsed/>
    <w:rsid w:val="006E2889"/>
    <w:rPr>
      <w:color w:val="605E5C"/>
      <w:shd w:val="clear" w:color="auto" w:fill="E1DFDD"/>
    </w:rPr>
  </w:style>
  <w:style w:type="paragraph" w:customStyle="1" w:styleId="fw-bold">
    <w:name w:val="fw-bold"/>
    <w:basedOn w:val="Normale"/>
    <w:rsid w:val="00A20A54"/>
    <w:pPr>
      <w:suppressAutoHyphens w:val="0"/>
      <w:spacing w:before="100" w:beforeAutospacing="1" w:after="100" w:afterAutospacing="1"/>
    </w:pPr>
    <w:rPr>
      <w:lang w:eastAsia="it-IT"/>
    </w:rPr>
  </w:style>
  <w:style w:type="character" w:customStyle="1" w:styleId="anno">
    <w:name w:val="anno"/>
    <w:basedOn w:val="Carpredefinitoparagrafo"/>
    <w:rsid w:val="00A20A54"/>
  </w:style>
  <w:style w:type="paragraph" w:customStyle="1" w:styleId="text-uppercase">
    <w:name w:val="text-uppercase"/>
    <w:basedOn w:val="Normale"/>
    <w:rsid w:val="00A20A54"/>
    <w:pPr>
      <w:suppressAutoHyphens w:val="0"/>
      <w:spacing w:before="100" w:beforeAutospacing="1" w:after="100" w:afterAutospacing="1"/>
    </w:pPr>
    <w:rPr>
      <w:lang w:eastAsia="it-IT"/>
    </w:rPr>
  </w:style>
  <w:style w:type="character" w:customStyle="1" w:styleId="euro">
    <w:name w:val="euro"/>
    <w:basedOn w:val="Carpredefinitoparagrafo"/>
    <w:rsid w:val="00A20A54"/>
  </w:style>
  <w:style w:type="character" w:styleId="Enfasicorsivo">
    <w:name w:val="Emphasis"/>
    <w:basedOn w:val="Carpredefinitoparagrafo"/>
    <w:uiPriority w:val="20"/>
    <w:qFormat/>
    <w:rsid w:val="00A20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8559">
      <w:bodyDiv w:val="1"/>
      <w:marLeft w:val="0"/>
      <w:marRight w:val="0"/>
      <w:marTop w:val="0"/>
      <w:marBottom w:val="0"/>
      <w:divBdr>
        <w:top w:val="none" w:sz="0" w:space="0" w:color="auto"/>
        <w:left w:val="none" w:sz="0" w:space="0" w:color="auto"/>
        <w:bottom w:val="none" w:sz="0" w:space="0" w:color="auto"/>
        <w:right w:val="none" w:sz="0" w:space="0" w:color="auto"/>
      </w:divBdr>
      <w:divsChild>
        <w:div w:id="1589075592">
          <w:marLeft w:val="0"/>
          <w:marRight w:val="0"/>
          <w:marTop w:val="0"/>
          <w:marBottom w:val="0"/>
          <w:divBdr>
            <w:top w:val="none" w:sz="0" w:space="0" w:color="auto"/>
            <w:left w:val="none" w:sz="0" w:space="0" w:color="auto"/>
            <w:bottom w:val="none" w:sz="0" w:space="0" w:color="auto"/>
            <w:right w:val="none" w:sz="0" w:space="0" w:color="auto"/>
          </w:divBdr>
          <w:divsChild>
            <w:div w:id="1049494881">
              <w:marLeft w:val="0"/>
              <w:marRight w:val="0"/>
              <w:marTop w:val="0"/>
              <w:marBottom w:val="0"/>
              <w:divBdr>
                <w:top w:val="none" w:sz="0" w:space="0" w:color="auto"/>
                <w:left w:val="none" w:sz="0" w:space="0" w:color="auto"/>
                <w:bottom w:val="none" w:sz="0" w:space="0" w:color="auto"/>
                <w:right w:val="none" w:sz="0" w:space="0" w:color="auto"/>
              </w:divBdr>
            </w:div>
            <w:div w:id="1836872428">
              <w:marLeft w:val="0"/>
              <w:marRight w:val="0"/>
              <w:marTop w:val="0"/>
              <w:marBottom w:val="0"/>
              <w:divBdr>
                <w:top w:val="none" w:sz="0" w:space="0" w:color="auto"/>
                <w:left w:val="none" w:sz="0" w:space="0" w:color="auto"/>
                <w:bottom w:val="none" w:sz="0" w:space="0" w:color="auto"/>
                <w:right w:val="none" w:sz="0" w:space="0" w:color="auto"/>
              </w:divBdr>
            </w:div>
            <w:div w:id="85659235">
              <w:marLeft w:val="0"/>
              <w:marRight w:val="0"/>
              <w:marTop w:val="0"/>
              <w:marBottom w:val="0"/>
              <w:divBdr>
                <w:top w:val="none" w:sz="0" w:space="0" w:color="auto"/>
                <w:left w:val="none" w:sz="0" w:space="0" w:color="auto"/>
                <w:bottom w:val="none" w:sz="0" w:space="0" w:color="auto"/>
                <w:right w:val="none" w:sz="0" w:space="0" w:color="auto"/>
              </w:divBdr>
            </w:div>
            <w:div w:id="17856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02">
      <w:bodyDiv w:val="1"/>
      <w:marLeft w:val="0"/>
      <w:marRight w:val="0"/>
      <w:marTop w:val="0"/>
      <w:marBottom w:val="0"/>
      <w:divBdr>
        <w:top w:val="none" w:sz="0" w:space="0" w:color="auto"/>
        <w:left w:val="none" w:sz="0" w:space="0" w:color="auto"/>
        <w:bottom w:val="none" w:sz="0" w:space="0" w:color="auto"/>
        <w:right w:val="none" w:sz="0" w:space="0" w:color="auto"/>
      </w:divBdr>
      <w:divsChild>
        <w:div w:id="1651786736">
          <w:marLeft w:val="0"/>
          <w:marRight w:val="0"/>
          <w:marTop w:val="0"/>
          <w:marBottom w:val="0"/>
          <w:divBdr>
            <w:top w:val="none" w:sz="0" w:space="0" w:color="auto"/>
            <w:left w:val="none" w:sz="0" w:space="0" w:color="auto"/>
            <w:bottom w:val="none" w:sz="0" w:space="0" w:color="auto"/>
            <w:right w:val="none" w:sz="0" w:space="0" w:color="auto"/>
          </w:divBdr>
          <w:divsChild>
            <w:div w:id="1418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angeli.it/riviste/sommario.asp?IDRivista=167" TargetMode="External"/><Relationship Id="rId3" Type="http://schemas.openxmlformats.org/officeDocument/2006/relationships/settings" Target="settings.xml"/><Relationship Id="rId7" Type="http://schemas.openxmlformats.org/officeDocument/2006/relationships/hyperlink" Target="https://www.torrossa.com/it/resources/an/2443612?digital=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2023-09-16T04:31:00Z</dcterms:created>
  <dcterms:modified xsi:type="dcterms:W3CDTF">2023-09-16T04:57:00Z</dcterms:modified>
</cp:coreProperties>
</file>