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FC42" w14:textId="69FF7B0D" w:rsidR="007C7EA9" w:rsidRPr="00C94431" w:rsidRDefault="007C7EA9" w:rsidP="007C7EA9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C94431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AN49</w:t>
      </w:r>
      <w:r w:rsidRPr="00C94431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3</w:t>
      </w:r>
      <w:r w:rsidRPr="00C94431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5</w:t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 xml:space="preserve">Scheda creata il </w:t>
      </w:r>
      <w:proofErr w:type="gramStart"/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>27  settembre</w:t>
      </w:r>
      <w:proofErr w:type="gramEnd"/>
      <w:r w:rsidRPr="00C94431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7C22FBE9" w14:textId="6F0F91C1" w:rsidR="00C94431" w:rsidRPr="00C94431" w:rsidRDefault="00C94431" w:rsidP="00C94431">
      <w:pPr>
        <w:jc w:val="center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94431">
        <w:rPr>
          <w:rFonts w:asciiTheme="minorHAnsi" w:hAnsiTheme="minorHAnsi" w:cstheme="minorHAnsi"/>
          <w:noProof/>
        </w:rPr>
        <w:drawing>
          <wp:inline distT="0" distB="0" distL="0" distR="0" wp14:anchorId="2041EE3C" wp14:editId="4023283F">
            <wp:extent cx="2750400" cy="3960000"/>
            <wp:effectExtent l="0" t="0" r="0" b="2540"/>
            <wp:docPr id="685867105" name="Immagine 2" descr="REL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431">
        <w:rPr>
          <w:rFonts w:asciiTheme="minorHAnsi" w:hAnsiTheme="minorHAnsi" w:cstheme="minorHAnsi"/>
        </w:rPr>
        <w:drawing>
          <wp:inline distT="0" distB="0" distL="0" distR="0" wp14:anchorId="21334C7C" wp14:editId="1FCBD0C8">
            <wp:extent cx="2804400" cy="3960000"/>
            <wp:effectExtent l="0" t="0" r="0" b="2540"/>
            <wp:docPr id="957012878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12878" name="Immagine 1" descr="Immagine che contiene testo, schermat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D7685" w14:textId="72A69805" w:rsidR="007C7EA9" w:rsidRPr="00C94431" w:rsidRDefault="007C7EA9" w:rsidP="007C7EA9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94431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159B4FD4" w14:textId="0551E0FE" w:rsidR="00C94431" w:rsidRPr="00C94431" w:rsidRDefault="00C94431" w:rsidP="007C7EA9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</w:rPr>
      </w:pPr>
      <w:r w:rsidRPr="00C94431">
        <w:rPr>
          <w:rFonts w:asciiTheme="minorHAnsi" w:hAnsiTheme="minorHAnsi" w:cstheme="minorHAnsi"/>
          <w:b/>
          <w:bCs/>
        </w:rPr>
        <w:t xml:space="preserve">*Relazione </w:t>
      </w:r>
      <w:r w:rsidRPr="00C94431">
        <w:rPr>
          <w:rFonts w:asciiTheme="minorHAnsi" w:hAnsiTheme="minorHAnsi" w:cstheme="minorHAnsi"/>
          <w:b/>
          <w:bCs/>
        </w:rPr>
        <w:t>annuale</w:t>
      </w:r>
      <w:r w:rsidRPr="00C94431">
        <w:rPr>
          <w:rFonts w:asciiTheme="minorHAnsi" w:hAnsiTheme="minorHAnsi" w:cstheme="minorHAnsi"/>
        </w:rPr>
        <w:t xml:space="preserve"> ... / Consiglio della Provincia autonoma di Trento, Ufficio del difensore civico. – 200</w:t>
      </w:r>
      <w:r w:rsidRPr="00C94431">
        <w:rPr>
          <w:rFonts w:asciiTheme="minorHAnsi" w:hAnsiTheme="minorHAnsi" w:cstheme="minorHAnsi"/>
        </w:rPr>
        <w:t>0-</w:t>
      </w:r>
      <w:r w:rsidRPr="00C94431">
        <w:rPr>
          <w:rFonts w:asciiTheme="minorHAnsi" w:hAnsiTheme="minorHAnsi" w:cstheme="minorHAnsi"/>
        </w:rPr>
        <w:t>200</w:t>
      </w:r>
      <w:r w:rsidRPr="00C94431">
        <w:rPr>
          <w:rFonts w:asciiTheme="minorHAnsi" w:hAnsiTheme="minorHAnsi" w:cstheme="minorHAnsi"/>
        </w:rPr>
        <w:t>5</w:t>
      </w:r>
      <w:r w:rsidRPr="00C94431">
        <w:rPr>
          <w:rFonts w:asciiTheme="minorHAnsi" w:hAnsiTheme="minorHAnsi" w:cstheme="minorHAnsi"/>
        </w:rPr>
        <w:t>. - [</w:t>
      </w:r>
      <w:proofErr w:type="gramStart"/>
      <w:r w:rsidRPr="00C94431">
        <w:rPr>
          <w:rFonts w:asciiTheme="minorHAnsi" w:hAnsiTheme="minorHAnsi" w:cstheme="minorHAnsi"/>
        </w:rPr>
        <w:t>Trento :</w:t>
      </w:r>
      <w:proofErr w:type="gramEnd"/>
      <w:r w:rsidRPr="00C94431">
        <w:rPr>
          <w:rFonts w:asciiTheme="minorHAnsi" w:hAnsiTheme="minorHAnsi" w:cstheme="minorHAnsi"/>
        </w:rPr>
        <w:t xml:space="preserve"> s. n., 200</w:t>
      </w:r>
      <w:r w:rsidRPr="00C94431">
        <w:rPr>
          <w:rFonts w:asciiTheme="minorHAnsi" w:hAnsiTheme="minorHAnsi" w:cstheme="minorHAnsi"/>
        </w:rPr>
        <w:t>1-2006</w:t>
      </w:r>
      <w:r w:rsidRPr="00C94431">
        <w:rPr>
          <w:rFonts w:asciiTheme="minorHAnsi" w:hAnsiTheme="minorHAnsi" w:cstheme="minorHAnsi"/>
        </w:rPr>
        <w:t xml:space="preserve">]. </w:t>
      </w:r>
      <w:r w:rsidRPr="00C94431">
        <w:rPr>
          <w:rFonts w:asciiTheme="minorHAnsi" w:hAnsiTheme="minorHAnsi" w:cstheme="minorHAnsi"/>
        </w:rPr>
        <w:t>–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 xml:space="preserve">6 </w:t>
      </w:r>
      <w:proofErr w:type="gramStart"/>
      <w:r w:rsidRPr="00C94431">
        <w:rPr>
          <w:rFonts w:asciiTheme="minorHAnsi" w:hAnsiTheme="minorHAnsi" w:cstheme="minorHAnsi"/>
        </w:rPr>
        <w:t>volumi ;</w:t>
      </w:r>
      <w:proofErr w:type="gramEnd"/>
      <w:r w:rsidRPr="00C94431">
        <w:rPr>
          <w:rFonts w:asciiTheme="minorHAnsi" w:hAnsiTheme="minorHAnsi" w:cstheme="minorHAnsi"/>
        </w:rPr>
        <w:t xml:space="preserve"> 25 cm</w:t>
      </w:r>
      <w:r w:rsidRPr="00C94431">
        <w:rPr>
          <w:rFonts w:asciiTheme="minorHAnsi" w:hAnsiTheme="minorHAnsi" w:cstheme="minorHAnsi"/>
        </w:rPr>
        <w:t>. ((Disponibile anche online</w:t>
      </w:r>
      <w:r w:rsidRPr="00C94431">
        <w:rPr>
          <w:rFonts w:asciiTheme="minorHAnsi" w:hAnsiTheme="minorHAnsi" w:cstheme="minorHAnsi"/>
          <w:b/>
          <w:bCs/>
        </w:rPr>
        <w:t xml:space="preserve"> </w:t>
      </w:r>
    </w:p>
    <w:p w14:paraId="58F4DA0E" w14:textId="77777777" w:rsidR="00C94431" w:rsidRPr="00C94431" w:rsidRDefault="00C94431" w:rsidP="00C94431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Autore: Trento &lt;provincia autonoma</w:t>
      </w:r>
      <w:proofErr w:type="gramStart"/>
      <w:r w:rsidRPr="00C94431">
        <w:rPr>
          <w:rFonts w:asciiTheme="minorHAnsi" w:hAnsiTheme="minorHAnsi" w:cstheme="minorHAnsi"/>
        </w:rPr>
        <w:t>&gt; :</w:t>
      </w:r>
      <w:proofErr w:type="gramEnd"/>
      <w:r w:rsidRPr="00C94431">
        <w:rPr>
          <w:rFonts w:asciiTheme="minorHAnsi" w:hAnsiTheme="minorHAnsi" w:cstheme="minorHAnsi"/>
        </w:rPr>
        <w:t xml:space="preserve"> Ufficio del difensore civico</w:t>
      </w:r>
    </w:p>
    <w:p w14:paraId="26276944" w14:textId="77777777" w:rsidR="00C94431" w:rsidRPr="00C94431" w:rsidRDefault="00C94431" w:rsidP="007C7EA9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</w:rPr>
      </w:pPr>
    </w:p>
    <w:p w14:paraId="360983F8" w14:textId="5B20FC11" w:rsidR="007C7EA9" w:rsidRPr="00C94431" w:rsidRDefault="00C94431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  <w:b/>
          <w:bCs/>
        </w:rPr>
        <w:t>*</w:t>
      </w:r>
      <w:r w:rsidR="007C7EA9" w:rsidRPr="00C94431">
        <w:rPr>
          <w:rFonts w:asciiTheme="minorHAnsi" w:hAnsiTheme="minorHAnsi" w:cstheme="minorHAnsi"/>
          <w:b/>
          <w:bCs/>
        </w:rPr>
        <w:t>Relazione biennale</w:t>
      </w:r>
      <w:r w:rsidR="007C7EA9" w:rsidRPr="00C94431">
        <w:rPr>
          <w:rFonts w:asciiTheme="minorHAnsi" w:hAnsiTheme="minorHAnsi" w:cstheme="minorHAnsi"/>
        </w:rPr>
        <w:t xml:space="preserve"> ... / Consiglio della Provincia autonoma di Trento, Ufficio del difensore civico. </w:t>
      </w:r>
      <w:r w:rsidRPr="00C94431">
        <w:rPr>
          <w:rFonts w:asciiTheme="minorHAnsi" w:hAnsiTheme="minorHAnsi" w:cstheme="minorHAnsi"/>
        </w:rPr>
        <w:t>–</w:t>
      </w:r>
      <w:r w:rsidR="007C7EA9"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 xml:space="preserve">2006/2007. - </w:t>
      </w:r>
      <w:r w:rsidR="007C7EA9" w:rsidRPr="00C94431">
        <w:rPr>
          <w:rFonts w:asciiTheme="minorHAnsi" w:hAnsiTheme="minorHAnsi" w:cstheme="minorHAnsi"/>
        </w:rPr>
        <w:t>[</w:t>
      </w:r>
      <w:proofErr w:type="gramStart"/>
      <w:r w:rsidR="007C7EA9" w:rsidRPr="00C94431">
        <w:rPr>
          <w:rFonts w:asciiTheme="minorHAnsi" w:hAnsiTheme="minorHAnsi" w:cstheme="minorHAnsi"/>
        </w:rPr>
        <w:t>Trento :</w:t>
      </w:r>
      <w:proofErr w:type="gramEnd"/>
      <w:r w:rsidR="007C7EA9" w:rsidRPr="00C94431">
        <w:rPr>
          <w:rFonts w:asciiTheme="minorHAnsi" w:hAnsiTheme="minorHAnsi" w:cstheme="minorHAnsi"/>
        </w:rPr>
        <w:t xml:space="preserve"> s. n.</w:t>
      </w:r>
      <w:r w:rsidRPr="00C94431">
        <w:rPr>
          <w:rFonts w:asciiTheme="minorHAnsi" w:hAnsiTheme="minorHAnsi" w:cstheme="minorHAnsi"/>
        </w:rPr>
        <w:t>, 2008</w:t>
      </w:r>
      <w:r w:rsidR="007C7EA9" w:rsidRPr="00C94431">
        <w:rPr>
          <w:rFonts w:asciiTheme="minorHAnsi" w:hAnsiTheme="minorHAnsi" w:cstheme="minorHAnsi"/>
        </w:rPr>
        <w:t xml:space="preserve">]. - </w:t>
      </w:r>
      <w:proofErr w:type="gramStart"/>
      <w:r w:rsidR="007C7EA9" w:rsidRPr="00C94431">
        <w:rPr>
          <w:rFonts w:asciiTheme="minorHAnsi" w:hAnsiTheme="minorHAnsi" w:cstheme="minorHAnsi"/>
        </w:rPr>
        <w:t>v</w:t>
      </w:r>
      <w:r w:rsidRPr="00C94431">
        <w:rPr>
          <w:rFonts w:asciiTheme="minorHAnsi" w:hAnsiTheme="minorHAnsi" w:cstheme="minorHAnsi"/>
        </w:rPr>
        <w:t>olumi</w:t>
      </w:r>
      <w:r w:rsidR="007C7EA9" w:rsidRPr="00C94431">
        <w:rPr>
          <w:rFonts w:asciiTheme="minorHAnsi" w:hAnsiTheme="minorHAnsi" w:cstheme="minorHAnsi"/>
        </w:rPr>
        <w:t xml:space="preserve"> ;</w:t>
      </w:r>
      <w:proofErr w:type="gramEnd"/>
      <w:r w:rsidR="007C7EA9" w:rsidRPr="00C94431">
        <w:rPr>
          <w:rFonts w:asciiTheme="minorHAnsi" w:hAnsiTheme="minorHAnsi" w:cstheme="minorHAnsi"/>
        </w:rPr>
        <w:t xml:space="preserve"> 25 cm</w:t>
      </w:r>
      <w:r w:rsidR="007C7EA9" w:rsidRPr="00C94431">
        <w:rPr>
          <w:rFonts w:asciiTheme="minorHAnsi" w:hAnsiTheme="minorHAnsi" w:cstheme="minorHAnsi"/>
        </w:rPr>
        <w:t xml:space="preserve">. </w:t>
      </w:r>
      <w:r w:rsidRPr="00C94431">
        <w:rPr>
          <w:rFonts w:asciiTheme="minorHAnsi" w:hAnsiTheme="minorHAnsi" w:cstheme="minorHAnsi"/>
        </w:rPr>
        <w:t>((</w:t>
      </w:r>
      <w:r w:rsidRPr="00C94431">
        <w:rPr>
          <w:rFonts w:asciiTheme="minorHAnsi" w:hAnsiTheme="minorHAnsi" w:cstheme="minorHAnsi"/>
        </w:rPr>
        <w:t>Disponibile anche online</w:t>
      </w:r>
      <w:r w:rsidRPr="00C94431">
        <w:rPr>
          <w:rFonts w:asciiTheme="minorHAnsi" w:hAnsiTheme="minorHAnsi" w:cstheme="minorHAnsi"/>
        </w:rPr>
        <w:t xml:space="preserve">. </w:t>
      </w:r>
      <w:proofErr w:type="gramStart"/>
      <w:r w:rsidR="007C7EA9" w:rsidRPr="00C94431">
        <w:rPr>
          <w:rFonts w:asciiTheme="minorHAnsi" w:hAnsiTheme="minorHAnsi" w:cstheme="minorHAnsi"/>
        </w:rPr>
        <w:t>-</w:t>
      </w:r>
      <w:proofErr w:type="gramEnd"/>
      <w:r w:rsidR="007C7EA9" w:rsidRPr="00C94431">
        <w:rPr>
          <w:rFonts w:asciiTheme="minorHAnsi" w:hAnsiTheme="minorHAnsi" w:cstheme="minorHAnsi"/>
        </w:rPr>
        <w:t xml:space="preserve"> </w:t>
      </w:r>
      <w:r w:rsidR="007C7EA9" w:rsidRPr="00C94431">
        <w:rPr>
          <w:rFonts w:asciiTheme="minorHAnsi" w:hAnsiTheme="minorHAnsi" w:cstheme="minorHAnsi"/>
        </w:rPr>
        <w:t>CFI0821739</w:t>
      </w:r>
    </w:p>
    <w:p w14:paraId="0DD25433" w14:textId="77777777" w:rsidR="00C94431" w:rsidRPr="00C94431" w:rsidRDefault="00C94431" w:rsidP="00C94431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Autore: Trento &lt;provincia autonoma</w:t>
      </w:r>
      <w:proofErr w:type="gramStart"/>
      <w:r w:rsidRPr="00C94431">
        <w:rPr>
          <w:rFonts w:asciiTheme="minorHAnsi" w:hAnsiTheme="minorHAnsi" w:cstheme="minorHAnsi"/>
        </w:rPr>
        <w:t>&gt; :</w:t>
      </w:r>
      <w:proofErr w:type="gramEnd"/>
      <w:r w:rsidRPr="00C94431">
        <w:rPr>
          <w:rFonts w:asciiTheme="minorHAnsi" w:hAnsiTheme="minorHAnsi" w:cstheme="minorHAnsi"/>
        </w:rPr>
        <w:t xml:space="preserve"> Ufficio del difensore civico</w:t>
      </w:r>
    </w:p>
    <w:p w14:paraId="16227559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00C2BDB3" w14:textId="2518517B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  <w:b/>
        </w:rPr>
        <w:t xml:space="preserve">*Ufficio del Difensore civico garante dei </w:t>
      </w:r>
      <w:proofErr w:type="gramStart"/>
      <w:r w:rsidRPr="00C94431">
        <w:rPr>
          <w:rFonts w:asciiTheme="minorHAnsi" w:hAnsiTheme="minorHAnsi" w:cstheme="minorHAnsi"/>
          <w:b/>
        </w:rPr>
        <w:t xml:space="preserve">minori </w:t>
      </w:r>
      <w:r w:rsidRPr="00C94431">
        <w:rPr>
          <w:rFonts w:asciiTheme="minorHAnsi" w:hAnsiTheme="minorHAnsi" w:cstheme="minorHAnsi"/>
        </w:rPr>
        <w:t>:</w:t>
      </w:r>
      <w:proofErr w:type="gramEnd"/>
      <w:r w:rsidRPr="00C94431">
        <w:rPr>
          <w:rFonts w:asciiTheme="minorHAnsi" w:hAnsiTheme="minorHAnsi" w:cstheme="minorHAnsi"/>
        </w:rPr>
        <w:t xml:space="preserve"> [relazione anno ...] / Consiglio della Provincia autonoma di Trento. </w:t>
      </w:r>
      <w:r w:rsidRPr="00C94431">
        <w:rPr>
          <w:rFonts w:asciiTheme="minorHAnsi" w:hAnsiTheme="minorHAnsi" w:cstheme="minorHAnsi"/>
        </w:rPr>
        <w:t>–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 xml:space="preserve">2008/2009-2018. - </w:t>
      </w:r>
      <w:r w:rsidRPr="00C94431">
        <w:rPr>
          <w:rFonts w:asciiTheme="minorHAnsi" w:hAnsiTheme="minorHAnsi" w:cstheme="minorHAnsi"/>
        </w:rPr>
        <w:t>[</w:t>
      </w:r>
      <w:proofErr w:type="gramStart"/>
      <w:r w:rsidRPr="00C94431">
        <w:rPr>
          <w:rFonts w:asciiTheme="minorHAnsi" w:hAnsiTheme="minorHAnsi" w:cstheme="minorHAnsi"/>
        </w:rPr>
        <w:t>Trento :</w:t>
      </w:r>
      <w:proofErr w:type="gramEnd"/>
      <w:r w:rsidRPr="00C94431">
        <w:rPr>
          <w:rFonts w:asciiTheme="minorHAnsi" w:hAnsiTheme="minorHAnsi" w:cstheme="minorHAnsi"/>
        </w:rPr>
        <w:t xml:space="preserve"> s.n.</w:t>
      </w:r>
      <w:r w:rsidRPr="00C94431">
        <w:rPr>
          <w:rFonts w:asciiTheme="minorHAnsi" w:hAnsiTheme="minorHAnsi" w:cstheme="minorHAnsi"/>
        </w:rPr>
        <w:t>, 2009-2019</w:t>
      </w:r>
      <w:r w:rsidRPr="00C94431">
        <w:rPr>
          <w:rFonts w:asciiTheme="minorHAnsi" w:hAnsiTheme="minorHAnsi" w:cstheme="minorHAnsi"/>
        </w:rPr>
        <w:t xml:space="preserve">]. </w:t>
      </w:r>
      <w:r w:rsidRPr="00C94431">
        <w:rPr>
          <w:rFonts w:asciiTheme="minorHAnsi" w:hAnsiTheme="minorHAnsi" w:cstheme="minorHAnsi"/>
        </w:rPr>
        <w:t>–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 xml:space="preserve">11 </w:t>
      </w:r>
      <w:proofErr w:type="gramStart"/>
      <w:r w:rsidRPr="00C94431">
        <w:rPr>
          <w:rFonts w:asciiTheme="minorHAnsi" w:hAnsiTheme="minorHAnsi" w:cstheme="minorHAnsi"/>
        </w:rPr>
        <w:t>volumi ;</w:t>
      </w:r>
      <w:proofErr w:type="gramEnd"/>
      <w:r w:rsidRPr="00C94431">
        <w:rPr>
          <w:rFonts w:asciiTheme="minorHAnsi" w:hAnsiTheme="minorHAnsi" w:cstheme="minorHAnsi"/>
        </w:rPr>
        <w:t xml:space="preserve"> 25 cm. ((</w:t>
      </w:r>
      <w:r w:rsidR="00C94431" w:rsidRPr="00C94431">
        <w:rPr>
          <w:rFonts w:asciiTheme="minorHAnsi" w:hAnsiTheme="minorHAnsi" w:cstheme="minorHAnsi"/>
        </w:rPr>
        <w:t>Biennale; a</w:t>
      </w:r>
      <w:r w:rsidRPr="00C94431">
        <w:rPr>
          <w:rFonts w:asciiTheme="minorHAnsi" w:hAnsiTheme="minorHAnsi" w:cstheme="minorHAnsi"/>
        </w:rPr>
        <w:t>nnuale</w:t>
      </w:r>
      <w:r w:rsidR="00C94431" w:rsidRPr="00C94431">
        <w:rPr>
          <w:rFonts w:asciiTheme="minorHAnsi" w:hAnsiTheme="minorHAnsi" w:cstheme="minorHAnsi"/>
        </w:rPr>
        <w:t xml:space="preserve"> dal 2010</w:t>
      </w:r>
      <w:r w:rsidRPr="00C94431">
        <w:rPr>
          <w:rFonts w:asciiTheme="minorHAnsi" w:hAnsiTheme="minorHAnsi" w:cstheme="minorHAnsi"/>
        </w:rPr>
        <w:t xml:space="preserve">. </w:t>
      </w:r>
      <w:r w:rsidRPr="00C94431">
        <w:rPr>
          <w:rFonts w:asciiTheme="minorHAnsi" w:hAnsiTheme="minorHAnsi" w:cstheme="minorHAnsi"/>
        </w:rPr>
        <w:t>–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 xml:space="preserve">Disponibile anche online. - </w:t>
      </w:r>
      <w:r w:rsidRPr="00C94431">
        <w:rPr>
          <w:rFonts w:asciiTheme="minorHAnsi" w:hAnsiTheme="minorHAnsi" w:cstheme="minorHAnsi"/>
        </w:rPr>
        <w:t>BVE0570522</w:t>
      </w:r>
    </w:p>
    <w:p w14:paraId="49F42DDB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Variante del titolo: *Relazione annuale. Ufficio del difensore civico garante dei minori</w:t>
      </w:r>
    </w:p>
    <w:p w14:paraId="1D63F135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Autore: Trento &lt;provincia autonoma</w:t>
      </w:r>
      <w:proofErr w:type="gramStart"/>
      <w:r w:rsidRPr="00C94431">
        <w:rPr>
          <w:rFonts w:asciiTheme="minorHAnsi" w:hAnsiTheme="minorHAnsi" w:cstheme="minorHAnsi"/>
        </w:rPr>
        <w:t>&gt; :</w:t>
      </w:r>
      <w:proofErr w:type="gramEnd"/>
      <w:r w:rsidRPr="00C94431">
        <w:rPr>
          <w:rFonts w:asciiTheme="minorHAnsi" w:hAnsiTheme="minorHAnsi" w:cstheme="minorHAnsi"/>
        </w:rPr>
        <w:t xml:space="preserve"> Ufficio del difensore civico garante dei minori</w:t>
      </w:r>
    </w:p>
    <w:p w14:paraId="2A52CA18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6E3085E4" w14:textId="508EC9AC" w:rsidR="007C7EA9" w:rsidRPr="00C94431" w:rsidRDefault="00C94431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*</w:t>
      </w:r>
      <w:r w:rsidR="007C7EA9" w:rsidRPr="00C94431">
        <w:rPr>
          <w:rFonts w:asciiTheme="minorHAnsi" w:hAnsiTheme="minorHAnsi" w:cstheme="minorHAnsi"/>
          <w:b/>
          <w:bCs/>
        </w:rPr>
        <w:t xml:space="preserve">Difensore </w:t>
      </w:r>
      <w:proofErr w:type="gramStart"/>
      <w:r w:rsidR="007C7EA9" w:rsidRPr="00C94431">
        <w:rPr>
          <w:rFonts w:asciiTheme="minorHAnsi" w:hAnsiTheme="minorHAnsi" w:cstheme="minorHAnsi"/>
          <w:b/>
          <w:bCs/>
        </w:rPr>
        <w:t>civico</w:t>
      </w:r>
      <w:r w:rsidR="007C7EA9" w:rsidRPr="00C94431">
        <w:rPr>
          <w:rFonts w:asciiTheme="minorHAnsi" w:hAnsiTheme="minorHAnsi" w:cstheme="minorHAnsi"/>
        </w:rPr>
        <w:t xml:space="preserve"> :</w:t>
      </w:r>
      <w:proofErr w:type="gramEnd"/>
      <w:r w:rsidR="007C7EA9" w:rsidRPr="00C94431">
        <w:rPr>
          <w:rFonts w:asciiTheme="minorHAnsi" w:hAnsiTheme="minorHAnsi" w:cstheme="minorHAnsi"/>
        </w:rPr>
        <w:t xml:space="preserve"> relazione anno ... / Consiglio della Provincia autonoma di Trento. - 2019-</w:t>
      </w:r>
      <w:r w:rsidRPr="00C94431">
        <w:rPr>
          <w:rFonts w:asciiTheme="minorHAnsi" w:hAnsiTheme="minorHAnsi" w:cstheme="minorHAnsi"/>
        </w:rPr>
        <w:t xml:space="preserve">  </w:t>
      </w:r>
      <w:proofErr w:type="gramStart"/>
      <w:r w:rsidRPr="00C94431">
        <w:rPr>
          <w:rFonts w:asciiTheme="minorHAnsi" w:hAnsiTheme="minorHAnsi" w:cstheme="minorHAnsi"/>
        </w:rPr>
        <w:t xml:space="preserve">  </w:t>
      </w:r>
      <w:r w:rsidR="007C7EA9" w:rsidRPr="00C94431">
        <w:rPr>
          <w:rFonts w:asciiTheme="minorHAnsi" w:hAnsiTheme="minorHAnsi" w:cstheme="minorHAnsi"/>
        </w:rPr>
        <w:t>.</w:t>
      </w:r>
      <w:proofErr w:type="gramEnd"/>
      <w:r w:rsidR="007C7EA9" w:rsidRPr="00C94431">
        <w:rPr>
          <w:rFonts w:asciiTheme="minorHAnsi" w:hAnsiTheme="minorHAnsi" w:cstheme="minorHAnsi"/>
        </w:rPr>
        <w:t xml:space="preserve"> - </w:t>
      </w:r>
      <w:proofErr w:type="gramStart"/>
      <w:r w:rsidR="007C7EA9" w:rsidRPr="00C94431">
        <w:rPr>
          <w:rFonts w:asciiTheme="minorHAnsi" w:hAnsiTheme="minorHAnsi" w:cstheme="minorHAnsi"/>
        </w:rPr>
        <w:t>Trento :</w:t>
      </w:r>
      <w:proofErr w:type="gramEnd"/>
      <w:r w:rsidR="007C7EA9" w:rsidRPr="00C94431">
        <w:rPr>
          <w:rFonts w:asciiTheme="minorHAnsi" w:hAnsiTheme="minorHAnsi" w:cstheme="minorHAnsi"/>
        </w:rPr>
        <w:t xml:space="preserve"> [s.n.], 20</w:t>
      </w:r>
      <w:r w:rsidRPr="00C94431">
        <w:rPr>
          <w:rFonts w:asciiTheme="minorHAnsi" w:hAnsiTheme="minorHAnsi" w:cstheme="minorHAnsi"/>
        </w:rPr>
        <w:t>20</w:t>
      </w:r>
      <w:r w:rsidR="007C7EA9" w:rsidRPr="00C94431">
        <w:rPr>
          <w:rFonts w:asciiTheme="minorHAnsi" w:hAnsiTheme="minorHAnsi" w:cstheme="minorHAnsi"/>
        </w:rPr>
        <w:t>-</w:t>
      </w:r>
      <w:r w:rsidRPr="00C94431">
        <w:rPr>
          <w:rFonts w:asciiTheme="minorHAnsi" w:hAnsiTheme="minorHAnsi" w:cstheme="minorHAnsi"/>
        </w:rPr>
        <w:t xml:space="preserve">    </w:t>
      </w:r>
      <w:r w:rsidR="007C7EA9" w:rsidRPr="00C94431">
        <w:rPr>
          <w:rFonts w:asciiTheme="minorHAnsi" w:hAnsiTheme="minorHAnsi" w:cstheme="minorHAnsi"/>
        </w:rPr>
        <w:t xml:space="preserve">. - </w:t>
      </w:r>
      <w:proofErr w:type="gramStart"/>
      <w:r w:rsidR="007C7EA9" w:rsidRPr="00C94431">
        <w:rPr>
          <w:rFonts w:asciiTheme="minorHAnsi" w:hAnsiTheme="minorHAnsi" w:cstheme="minorHAnsi"/>
        </w:rPr>
        <w:t>volumi ;</w:t>
      </w:r>
      <w:proofErr w:type="gramEnd"/>
      <w:r w:rsidR="007C7EA9" w:rsidRPr="00C94431">
        <w:rPr>
          <w:rFonts w:asciiTheme="minorHAnsi" w:hAnsiTheme="minorHAnsi" w:cstheme="minorHAnsi"/>
        </w:rPr>
        <w:t xml:space="preserve"> 29 cm. </w:t>
      </w:r>
      <w:r w:rsidRPr="00C94431">
        <w:rPr>
          <w:rFonts w:asciiTheme="minorHAnsi" w:hAnsiTheme="minorHAnsi" w:cstheme="minorHAnsi"/>
        </w:rPr>
        <w:t>((</w:t>
      </w:r>
      <w:r w:rsidR="007C7EA9" w:rsidRPr="00C94431">
        <w:rPr>
          <w:rFonts w:asciiTheme="minorHAnsi" w:hAnsiTheme="minorHAnsi" w:cstheme="minorHAnsi"/>
        </w:rPr>
        <w:t>Disponibile anche online</w:t>
      </w:r>
      <w:r w:rsidR="007C7EA9" w:rsidRPr="00C94431">
        <w:rPr>
          <w:rFonts w:asciiTheme="minorHAnsi" w:hAnsiTheme="minorHAnsi" w:cstheme="minorHAnsi"/>
        </w:rPr>
        <w:t xml:space="preserve">. - </w:t>
      </w:r>
      <w:r w:rsidR="007C7EA9" w:rsidRPr="00C94431">
        <w:rPr>
          <w:rFonts w:asciiTheme="minorHAnsi" w:hAnsiTheme="minorHAnsi" w:cstheme="minorHAnsi"/>
        </w:rPr>
        <w:t>BVE0946086</w:t>
      </w:r>
    </w:p>
    <w:p w14:paraId="378FFC62" w14:textId="6A1B40A5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Autore: Trento &lt;provincia autonoma</w:t>
      </w:r>
      <w:proofErr w:type="gramStart"/>
      <w:r w:rsidRPr="00C94431">
        <w:rPr>
          <w:rFonts w:asciiTheme="minorHAnsi" w:hAnsiTheme="minorHAnsi" w:cstheme="minorHAnsi"/>
        </w:rPr>
        <w:t>&gt; :</w:t>
      </w:r>
      <w:proofErr w:type="gramEnd"/>
      <w:r w:rsidRPr="00C94431">
        <w:rPr>
          <w:rFonts w:asciiTheme="minorHAnsi" w:hAnsiTheme="minorHAnsi" w:cstheme="minorHAnsi"/>
        </w:rPr>
        <w:t xml:space="preserve"> Ufficio del difensore civico</w:t>
      </w:r>
    </w:p>
    <w:p w14:paraId="2DAD8160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29D20808" w14:textId="1E29339B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Soggetto: Difensore civico - Trento &lt;prov.&gt; - Periodici</w:t>
      </w:r>
    </w:p>
    <w:p w14:paraId="798AD8DE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Classe: D342.450667</w:t>
      </w:r>
    </w:p>
    <w:p w14:paraId="3458CE86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6E9679FD" w14:textId="0A6C1279" w:rsidR="007C7EA9" w:rsidRPr="00C94431" w:rsidRDefault="007C7EA9" w:rsidP="007C7EA9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C94431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C94431">
          <w:rPr>
            <w:rStyle w:val="Collegamentoipertestuale"/>
            <w:rFonts w:asciiTheme="minorHAnsi" w:hAnsiTheme="minorHAnsi" w:cstheme="minorHAnsi"/>
            <w:sz w:val="44"/>
            <w:szCs w:val="44"/>
          </w:rPr>
          <w:t>2000-</w:t>
        </w:r>
      </w:hyperlink>
    </w:p>
    <w:p w14:paraId="1DD2C99C" w14:textId="77777777" w:rsidR="007C7EA9" w:rsidRPr="00C94431" w:rsidRDefault="007C7EA9" w:rsidP="007C7EA9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3A8D3253" w14:textId="77777777" w:rsidR="007C7EA9" w:rsidRPr="00C94431" w:rsidRDefault="007C7EA9" w:rsidP="007C7EA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94431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36156A29" w14:textId="77777777" w:rsidR="007C7EA9" w:rsidRPr="00C94431" w:rsidRDefault="007C7EA9" w:rsidP="007C7EA9">
      <w:pPr>
        <w:tabs>
          <w:tab w:val="right" w:pos="6660"/>
        </w:tabs>
        <w:jc w:val="both"/>
        <w:rPr>
          <w:rFonts w:asciiTheme="minorHAnsi" w:hAnsiTheme="minorHAnsi" w:cstheme="minorHAnsi"/>
        </w:rPr>
      </w:pPr>
    </w:p>
    <w:p w14:paraId="0497A91B" w14:textId="16F223DE" w:rsidR="0031062F" w:rsidRPr="00C94431" w:rsidRDefault="00C94431" w:rsidP="00C94431">
      <w:pPr>
        <w:jc w:val="both"/>
        <w:rPr>
          <w:rFonts w:asciiTheme="minorHAnsi" w:hAnsiTheme="minorHAnsi" w:cstheme="minorHAnsi"/>
        </w:rPr>
      </w:pPr>
      <w:r w:rsidRPr="00C94431">
        <w:rPr>
          <w:rFonts w:asciiTheme="minorHAnsi" w:hAnsiTheme="minorHAnsi" w:cstheme="minorHAnsi"/>
        </w:rPr>
        <w:t>Il Difensore civico è un organo monocratico</w:t>
      </w:r>
      <w:r w:rsidRPr="00C94431">
        <w:rPr>
          <w:rFonts w:asciiTheme="minorHAnsi" w:hAnsiTheme="minorHAnsi" w:cstheme="minorHAnsi"/>
          <w:b/>
          <w:bCs/>
        </w:rPr>
        <w:t xml:space="preserve"> di garanzia e tutela dei diritti e degli interessi del</w:t>
      </w:r>
      <w:r w:rsidRPr="00C94431">
        <w:rPr>
          <w:rFonts w:asciiTheme="minorHAnsi" w:hAnsiTheme="minorHAnsi" w:cstheme="minorHAnsi"/>
        </w:rPr>
        <w:br/>
      </w:r>
      <w:r w:rsidRPr="00C94431">
        <w:rPr>
          <w:rFonts w:asciiTheme="minorHAnsi" w:hAnsiTheme="minorHAnsi" w:cstheme="minorHAnsi"/>
          <w:b/>
          <w:bCs/>
        </w:rPr>
        <w:t>cittadino nei confronti della Pubblica amministrazione e degli enti erogatori di pubblici servizi</w:t>
      </w:r>
      <w:r w:rsidRPr="00C94431">
        <w:rPr>
          <w:rFonts w:asciiTheme="minorHAnsi" w:hAnsiTheme="minorHAnsi" w:cstheme="minorHAnsi"/>
        </w:rPr>
        <w:t>, scelto fra persone in possesso di competenza ed esperienza giuridico-amministrativa con particolare riguardo alle materie che rientrano fra le sue attribuzioni.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>La sua consulenza ed il suo intervento, di carattere dissuasivo-persuasivo, sono gratuiti. Il difensore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>civico, quale autorità di garanzia extragiudiziale, svolge la sua attività in piena libertà ed indipendenza.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>La sua attività di consulenza ed il suo intervento, alternativi ai rimedi rappresentati dai ricorsi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>amministrativi e giurisdizionali, sono finalizzati a garantire il buon andamento, l'imparzialità, la trasparenza e la legalità ​dell'azione della Pubblica Amministrazione (art. 97 della Costituzione).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>La legge istitutiva (</w:t>
      </w:r>
      <w:proofErr w:type="spellStart"/>
      <w:r w:rsidRPr="00C94431">
        <w:rPr>
          <w:rFonts w:asciiTheme="minorHAnsi" w:hAnsiTheme="minorHAnsi" w:cstheme="minorHAnsi"/>
        </w:rPr>
        <w:t>l.p</w:t>
      </w:r>
      <w:proofErr w:type="spellEnd"/>
      <w:r w:rsidRPr="00C94431">
        <w:rPr>
          <w:rFonts w:asciiTheme="minorHAnsi" w:hAnsiTheme="minorHAnsi" w:cstheme="minorHAnsi"/>
        </w:rPr>
        <w:t>. n. 28/1982) è stata modificata dalla legge provinciale n. 5/2017, che ha istituito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 xml:space="preserve">(art. 9 bis) il </w:t>
      </w:r>
      <w:r w:rsidRPr="00C94431">
        <w:rPr>
          <w:rFonts w:asciiTheme="minorHAnsi" w:hAnsiTheme="minorHAnsi" w:cstheme="minorHAnsi"/>
          <w:b/>
          <w:bCs/>
        </w:rPr>
        <w:t xml:space="preserve">Garante dei diritti dei detenuti </w:t>
      </w:r>
      <w:r w:rsidRPr="00C94431">
        <w:rPr>
          <w:rFonts w:asciiTheme="minorHAnsi" w:hAnsiTheme="minorHAnsi" w:cstheme="minorHAnsi"/>
        </w:rPr>
        <w:t xml:space="preserve">e il </w:t>
      </w:r>
      <w:r w:rsidRPr="00C94431">
        <w:rPr>
          <w:rFonts w:asciiTheme="minorHAnsi" w:hAnsiTheme="minorHAnsi" w:cstheme="minorHAnsi"/>
          <w:b/>
          <w:bCs/>
        </w:rPr>
        <w:t>Garante dei diritti dei minori</w:t>
      </w:r>
      <w:r w:rsidRPr="00C94431">
        <w:rPr>
          <w:rFonts w:asciiTheme="minorHAnsi" w:hAnsiTheme="minorHAnsi" w:cstheme="minorHAnsi"/>
        </w:rPr>
        <w:t>, operanti in autonomia</w:t>
      </w:r>
      <w:r w:rsidRPr="00C94431">
        <w:rPr>
          <w:rFonts w:asciiTheme="minorHAnsi" w:hAnsiTheme="minorHAnsi" w:cstheme="minorHAnsi"/>
        </w:rPr>
        <w:t xml:space="preserve"> </w:t>
      </w:r>
      <w:r w:rsidRPr="00C94431">
        <w:rPr>
          <w:rFonts w:asciiTheme="minorHAnsi" w:hAnsiTheme="minorHAnsi" w:cstheme="minorHAnsi"/>
        </w:rPr>
        <w:t>nello svolgimento delle proprie funzioni e dalla legge provinciale n. 12/2020, che ha determinato </w:t>
      </w:r>
      <w:r w:rsidRPr="00C94431">
        <w:rPr>
          <w:rFonts w:asciiTheme="minorHAnsi" w:hAnsiTheme="minorHAnsi" w:cstheme="minorHAnsi"/>
          <w:b/>
          <w:bCs/>
        </w:rPr>
        <w:t>in 5 anni </w:t>
      </w:r>
      <w:r w:rsidRPr="00C94431">
        <w:rPr>
          <w:rFonts w:asciiTheme="minorHAnsi" w:hAnsiTheme="minorHAnsi" w:cstheme="minorHAnsi"/>
        </w:rPr>
        <w:t>​la durata del mandato del Difensore civico e dei Garanti.</w:t>
      </w:r>
      <w:r w:rsidRPr="00C94431">
        <w:rPr>
          <w:rFonts w:asciiTheme="minorHAnsi" w:hAnsiTheme="minorHAnsi" w:cstheme="minorHAnsi"/>
        </w:rPr>
        <w:t xml:space="preserve"> </w:t>
      </w:r>
      <w:hyperlink r:id="rId7" w:history="1">
        <w:r w:rsidRPr="00C94431">
          <w:rPr>
            <w:rStyle w:val="Collegamentoipertestuale"/>
            <w:rFonts w:asciiTheme="minorHAnsi" w:hAnsiTheme="minorHAnsi" w:cstheme="minorHAnsi"/>
          </w:rPr>
          <w:t>https://www.consiglio.provincia.tn.it/presso-il-consiglio/difensore-civico</w:t>
        </w:r>
      </w:hyperlink>
    </w:p>
    <w:p w14:paraId="3C60E638" w14:textId="77777777" w:rsidR="00C94431" w:rsidRPr="00C94431" w:rsidRDefault="00C94431">
      <w:pPr>
        <w:rPr>
          <w:rFonts w:asciiTheme="minorHAnsi" w:hAnsiTheme="minorHAnsi" w:cstheme="minorHAnsi"/>
        </w:rPr>
      </w:pPr>
    </w:p>
    <w:sectPr w:rsidR="00C94431" w:rsidRPr="00C94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174E"/>
    <w:rsid w:val="0031062F"/>
    <w:rsid w:val="003E174E"/>
    <w:rsid w:val="007C7EA9"/>
    <w:rsid w:val="00C9443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0F52"/>
  <w15:chartTrackingRefBased/>
  <w15:docId w15:val="{9510C7DF-2B07-4D22-9328-6012714E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EA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C7EA9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7C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iglio.provincia.tn.it/presso-il-consiglio/difensore-civ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iglio.provincia.tn.it/presso-il-consiglio/difensore-civico/Pages/materiali.asp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2023-10-30T18:33:00Z</dcterms:created>
  <dcterms:modified xsi:type="dcterms:W3CDTF">2023-10-30T18:53:00Z</dcterms:modified>
</cp:coreProperties>
</file>