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E17F8" w14:textId="2A693978" w:rsidR="009B2254" w:rsidRDefault="009B2254" w:rsidP="009B2254">
      <w:pPr>
        <w:jc w:val="both"/>
        <w:rPr>
          <w:rFonts w:asciiTheme="minorHAnsi" w:hAnsiTheme="minorHAnsi" w:cstheme="minorHAnsi"/>
          <w:i/>
          <w:sz w:val="18"/>
          <w:szCs w:val="18"/>
        </w:rPr>
      </w:pPr>
      <w:bookmarkStart w:id="0" w:name="_Hlk152265105"/>
      <w:r>
        <w:rPr>
          <w:rFonts w:asciiTheme="minorHAnsi" w:hAnsiTheme="minorHAnsi" w:cstheme="minorHAnsi"/>
          <w:b/>
          <w:color w:val="C00000"/>
          <w:sz w:val="44"/>
          <w:szCs w:val="44"/>
        </w:rPr>
        <w:t>IT2792</w:t>
      </w:r>
      <w:r w:rsidRPr="0053125E">
        <w:rPr>
          <w:rFonts w:asciiTheme="minorHAnsi" w:hAnsiTheme="minorHAnsi" w:cstheme="minorHAnsi"/>
          <w:b/>
          <w:sz w:val="44"/>
          <w:szCs w:val="44"/>
        </w:rPr>
        <w:t xml:space="preserve"> </w:t>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Pr>
          <w:rFonts w:asciiTheme="minorHAnsi" w:hAnsiTheme="minorHAnsi" w:cstheme="minorHAnsi"/>
          <w:i/>
          <w:sz w:val="18"/>
          <w:szCs w:val="18"/>
        </w:rPr>
        <w:tab/>
      </w:r>
      <w:r w:rsidRPr="004C1106">
        <w:rPr>
          <w:rFonts w:asciiTheme="minorHAnsi" w:hAnsiTheme="minorHAnsi" w:cstheme="minorHAnsi"/>
          <w:i/>
          <w:sz w:val="18"/>
          <w:szCs w:val="18"/>
        </w:rPr>
        <w:t>Scheda creata il</w:t>
      </w:r>
      <w:r>
        <w:rPr>
          <w:rFonts w:asciiTheme="minorHAnsi" w:hAnsiTheme="minorHAnsi" w:cstheme="minorHAnsi"/>
          <w:i/>
          <w:sz w:val="18"/>
          <w:szCs w:val="18"/>
        </w:rPr>
        <w:t xml:space="preserve"> 4 dicembre 2023</w:t>
      </w:r>
    </w:p>
    <w:bookmarkEnd w:id="0"/>
    <w:p w14:paraId="622A8575" w14:textId="0198CCC0" w:rsidR="009B2254" w:rsidRDefault="009B2254" w:rsidP="009B2254">
      <w:pPr>
        <w:jc w:val="both"/>
        <w:rPr>
          <w:rFonts w:asciiTheme="minorHAnsi" w:hAnsiTheme="minorHAnsi" w:cstheme="minorHAnsi"/>
          <w:b/>
          <w:color w:val="C00000"/>
          <w:sz w:val="44"/>
          <w:szCs w:val="44"/>
        </w:rPr>
      </w:pPr>
      <w:r w:rsidRPr="009B2254">
        <w:rPr>
          <w:noProof/>
        </w:rPr>
        <w:drawing>
          <wp:inline distT="0" distB="0" distL="0" distR="0" wp14:anchorId="5DF39021" wp14:editId="25F4C482">
            <wp:extent cx="3027600" cy="3960000"/>
            <wp:effectExtent l="0" t="0" r="1905" b="2540"/>
            <wp:docPr id="353639340" name="Immagine 1" descr="Immagine che contiene testo, libro, poster,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39340" name="Immagine 1" descr="Immagine che contiene testo, libro, poster, schermata&#10;&#10;Descrizione generata automaticamente"/>
                    <pic:cNvPicPr/>
                  </pic:nvPicPr>
                  <pic:blipFill>
                    <a:blip r:embed="rId5"/>
                    <a:stretch>
                      <a:fillRect/>
                    </a:stretch>
                  </pic:blipFill>
                  <pic:spPr>
                    <a:xfrm>
                      <a:off x="0" y="0"/>
                      <a:ext cx="3027600" cy="3960000"/>
                    </a:xfrm>
                    <a:prstGeom prst="rect">
                      <a:avLst/>
                    </a:prstGeom>
                  </pic:spPr>
                </pic:pic>
              </a:graphicData>
            </a:graphic>
          </wp:inline>
        </w:drawing>
      </w:r>
      <w:r>
        <w:rPr>
          <w:noProof/>
        </w:rPr>
        <w:drawing>
          <wp:inline distT="0" distB="0" distL="0" distR="0" wp14:anchorId="1AB8201A" wp14:editId="3A236540">
            <wp:extent cx="3078000" cy="3960000"/>
            <wp:effectExtent l="0" t="0" r="8255" b="2540"/>
            <wp:docPr id="727014969" name="Immagine 1" descr="Immagine che contiene testo, neve, libro,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14969" name="Immagine 1" descr="Immagine che contiene testo, neve, libro, natura&#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8000" cy="3960000"/>
                    </a:xfrm>
                    <a:prstGeom prst="rect">
                      <a:avLst/>
                    </a:prstGeom>
                    <a:noFill/>
                    <a:ln>
                      <a:noFill/>
                    </a:ln>
                  </pic:spPr>
                </pic:pic>
              </a:graphicData>
            </a:graphic>
          </wp:inline>
        </w:drawing>
      </w:r>
    </w:p>
    <w:p w14:paraId="476BC5C5" w14:textId="7A10661E" w:rsidR="009B2254" w:rsidRPr="0053125E" w:rsidRDefault="009B2254" w:rsidP="009B2254">
      <w:pPr>
        <w:jc w:val="both"/>
        <w:rPr>
          <w:rFonts w:asciiTheme="minorHAnsi" w:hAnsiTheme="minorHAnsi" w:cstheme="minorHAnsi"/>
          <w:b/>
          <w:color w:val="C00000"/>
          <w:sz w:val="44"/>
          <w:szCs w:val="44"/>
        </w:rPr>
      </w:pPr>
      <w:r w:rsidRPr="0053125E">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53125E">
        <w:rPr>
          <w:rFonts w:asciiTheme="minorHAnsi" w:hAnsiTheme="minorHAnsi" w:cstheme="minorHAnsi"/>
          <w:b/>
          <w:color w:val="C00000"/>
          <w:sz w:val="44"/>
          <w:szCs w:val="44"/>
        </w:rPr>
        <w:t>bibliografica</w:t>
      </w:r>
    </w:p>
    <w:p w14:paraId="0E5EF54B" w14:textId="2278D1BF" w:rsidR="009B2254" w:rsidRDefault="009B2254" w:rsidP="009B2254">
      <w:pPr>
        <w:jc w:val="both"/>
        <w:rPr>
          <w:rFonts w:asciiTheme="minorHAnsi" w:hAnsiTheme="minorHAnsi" w:cstheme="minorHAnsi"/>
        </w:rPr>
      </w:pPr>
      <w:r w:rsidRPr="009B2254">
        <w:rPr>
          <w:rFonts w:asciiTheme="minorHAnsi" w:hAnsiTheme="minorHAnsi" w:cstheme="minorHAnsi"/>
          <w:b/>
        </w:rPr>
        <w:t xml:space="preserve">*Phytopathologia mediterranea. </w:t>
      </w:r>
      <w:r w:rsidRPr="009B2254">
        <w:rPr>
          <w:rFonts w:asciiTheme="minorHAnsi" w:hAnsiTheme="minorHAnsi" w:cstheme="minorHAnsi"/>
        </w:rPr>
        <w:t xml:space="preserve">- Anno 1, n. 1 (agosto 1960)-    . - </w:t>
      </w:r>
      <w:r w:rsidRPr="009B2254">
        <w:rPr>
          <w:rFonts w:asciiTheme="minorHAnsi" w:hAnsiTheme="minorHAnsi" w:cstheme="minorHAnsi"/>
          <w:color w:val="000000"/>
        </w:rPr>
        <w:t>Bologna : Edizioni agricole, 1960-    . - volumi : ill. ; 30 cm. ((Quadrimestrale. - Poi sottotitolo in: An international journal edited by the Mediterranean phytopathological union. - Poi editore: Firenze : Mediterranean phytopathological union. -</w:t>
      </w:r>
      <w:r w:rsidRPr="009B2254">
        <w:rPr>
          <w:rFonts w:asciiTheme="minorHAnsi" w:hAnsiTheme="minorHAnsi" w:cstheme="minorHAnsi"/>
        </w:rPr>
        <w:t xml:space="preserve"> </w:t>
      </w:r>
      <w:r w:rsidRPr="009B2254">
        <w:rPr>
          <w:rFonts w:asciiTheme="minorHAnsi" w:hAnsiTheme="minorHAnsi" w:cstheme="minorHAnsi"/>
          <w:color w:val="000000"/>
        </w:rPr>
        <w:t xml:space="preserve">ISSN 0031-9465 (stampa); </w:t>
      </w:r>
      <w:r w:rsidRPr="009B2254">
        <w:rPr>
          <w:rFonts w:asciiTheme="minorHAnsi" w:hAnsiTheme="minorHAnsi" w:cstheme="minorHAnsi"/>
        </w:rPr>
        <w:t xml:space="preserve">1593-2095 (online). – Dal vol. 39 (2000) disponibile </w:t>
      </w:r>
      <w:r w:rsidR="003532D9">
        <w:rPr>
          <w:rFonts w:asciiTheme="minorHAnsi" w:hAnsiTheme="minorHAnsi" w:cstheme="minorHAnsi"/>
        </w:rPr>
        <w:t>anche online</w:t>
      </w:r>
      <w:r w:rsidRPr="009B2254">
        <w:rPr>
          <w:rFonts w:asciiTheme="minorHAnsi" w:hAnsiTheme="minorHAnsi" w:cstheme="minorHAnsi"/>
          <w:color w:val="000000"/>
        </w:rPr>
        <w:t>. - BNI 61-1686. -</w:t>
      </w:r>
      <w:r w:rsidRPr="009B2254">
        <w:rPr>
          <w:rFonts w:asciiTheme="minorHAnsi" w:hAnsiTheme="minorHAnsi" w:cstheme="minorHAnsi"/>
        </w:rPr>
        <w:t xml:space="preserve"> SBL0519086</w:t>
      </w:r>
      <w:r w:rsidR="003532D9">
        <w:rPr>
          <w:rFonts w:asciiTheme="minorHAnsi" w:hAnsiTheme="minorHAnsi" w:cstheme="minorHAnsi"/>
        </w:rPr>
        <w:t xml:space="preserve">; </w:t>
      </w:r>
      <w:r w:rsidR="003532D9" w:rsidRPr="003532D9">
        <w:rPr>
          <w:rFonts w:asciiTheme="minorHAnsi" w:hAnsiTheme="minorHAnsi" w:cstheme="minorHAnsi"/>
        </w:rPr>
        <w:t>UFI0038990</w:t>
      </w:r>
    </w:p>
    <w:p w14:paraId="41E4CFB1" w14:textId="207E06A9" w:rsidR="003532D9" w:rsidRPr="009B2254" w:rsidRDefault="003532D9" w:rsidP="009B2254">
      <w:pPr>
        <w:jc w:val="both"/>
        <w:rPr>
          <w:rFonts w:asciiTheme="minorHAnsi" w:hAnsiTheme="minorHAnsi" w:cstheme="minorHAnsi"/>
        </w:rPr>
      </w:pPr>
      <w:r>
        <w:rPr>
          <w:rFonts w:asciiTheme="minorHAnsi" w:hAnsiTheme="minorHAnsi" w:cstheme="minorHAnsi"/>
        </w:rPr>
        <w:t xml:space="preserve">Autore: </w:t>
      </w:r>
      <w:r w:rsidRPr="009B2254">
        <w:rPr>
          <w:rFonts w:asciiTheme="minorHAnsi" w:hAnsiTheme="minorHAnsi" w:cstheme="minorHAnsi"/>
          <w:color w:val="000000"/>
        </w:rPr>
        <w:t>Mediterranean phytopathological union</w:t>
      </w:r>
    </w:p>
    <w:p w14:paraId="6BF4F3D1" w14:textId="1C2C5977" w:rsidR="009B2254" w:rsidRPr="009B2254" w:rsidRDefault="009B2254" w:rsidP="009B2254">
      <w:pPr>
        <w:jc w:val="both"/>
        <w:rPr>
          <w:rFonts w:asciiTheme="minorHAnsi" w:hAnsiTheme="minorHAnsi" w:cstheme="minorHAnsi"/>
        </w:rPr>
      </w:pPr>
      <w:r w:rsidRPr="009B2254">
        <w:rPr>
          <w:rFonts w:asciiTheme="minorHAnsi" w:hAnsiTheme="minorHAnsi" w:cstheme="minorHAnsi"/>
        </w:rPr>
        <w:t>Soggetto: Patologia vegetale</w:t>
      </w:r>
      <w:r w:rsidR="003532D9">
        <w:rPr>
          <w:rFonts w:asciiTheme="minorHAnsi" w:hAnsiTheme="minorHAnsi" w:cstheme="minorHAnsi"/>
        </w:rPr>
        <w:t xml:space="preserve"> </w:t>
      </w:r>
      <w:r w:rsidRPr="009B2254">
        <w:rPr>
          <w:rFonts w:asciiTheme="minorHAnsi" w:hAnsiTheme="minorHAnsi" w:cstheme="minorHAnsi"/>
        </w:rPr>
        <w:t>-</w:t>
      </w:r>
      <w:r w:rsidR="003532D9">
        <w:rPr>
          <w:rFonts w:asciiTheme="minorHAnsi" w:hAnsiTheme="minorHAnsi" w:cstheme="minorHAnsi"/>
        </w:rPr>
        <w:t xml:space="preserve"> </w:t>
      </w:r>
      <w:r w:rsidRPr="009B2254">
        <w:rPr>
          <w:rFonts w:asciiTheme="minorHAnsi" w:hAnsiTheme="minorHAnsi" w:cstheme="minorHAnsi"/>
        </w:rPr>
        <w:t>Periodici</w:t>
      </w:r>
    </w:p>
    <w:p w14:paraId="2F3A9442" w14:textId="77777777" w:rsidR="009B2254" w:rsidRDefault="009B2254" w:rsidP="009B2254">
      <w:pPr>
        <w:jc w:val="both"/>
        <w:rPr>
          <w:rFonts w:asciiTheme="minorHAnsi" w:hAnsiTheme="minorHAnsi" w:cstheme="minorHAnsi"/>
        </w:rPr>
      </w:pPr>
      <w:r w:rsidRPr="009B2254">
        <w:rPr>
          <w:rFonts w:asciiTheme="minorHAnsi" w:hAnsiTheme="minorHAnsi" w:cstheme="minorHAnsi"/>
        </w:rPr>
        <w:t>Classe: D571.92</w:t>
      </w:r>
    </w:p>
    <w:p w14:paraId="13514DC1" w14:textId="77777777" w:rsidR="003532D9" w:rsidRDefault="003532D9" w:rsidP="009B2254">
      <w:pPr>
        <w:jc w:val="both"/>
        <w:rPr>
          <w:rFonts w:asciiTheme="minorHAnsi" w:hAnsiTheme="minorHAnsi" w:cstheme="minorHAnsi"/>
        </w:rPr>
      </w:pPr>
    </w:p>
    <w:p w14:paraId="2472881A" w14:textId="54E064B2" w:rsidR="003532D9" w:rsidRPr="003532D9" w:rsidRDefault="003532D9" w:rsidP="009B2254">
      <w:pPr>
        <w:jc w:val="both"/>
        <w:rPr>
          <w:rFonts w:asciiTheme="minorHAnsi" w:hAnsiTheme="minorHAnsi" w:cstheme="minorHAnsi"/>
          <w:b/>
          <w:bCs/>
          <w:color w:val="C00000"/>
          <w:sz w:val="44"/>
          <w:szCs w:val="44"/>
        </w:rPr>
      </w:pPr>
      <w:r w:rsidRPr="003532D9">
        <w:rPr>
          <w:rFonts w:asciiTheme="minorHAnsi" w:hAnsiTheme="minorHAnsi" w:cstheme="minorHAnsi"/>
          <w:b/>
          <w:bCs/>
          <w:color w:val="C00000"/>
          <w:sz w:val="44"/>
          <w:szCs w:val="44"/>
        </w:rPr>
        <w:t xml:space="preserve">Volumi disponibili in rete </w:t>
      </w:r>
      <w:hyperlink r:id="rId7" w:history="1">
        <w:r w:rsidRPr="003532D9">
          <w:rPr>
            <w:rStyle w:val="Collegamentoipertestuale"/>
            <w:rFonts w:asciiTheme="minorHAnsi" w:hAnsiTheme="minorHAnsi" w:cstheme="minorHAnsi"/>
            <w:sz w:val="44"/>
            <w:szCs w:val="44"/>
          </w:rPr>
          <w:t>39(2000)-</w:t>
        </w:r>
      </w:hyperlink>
    </w:p>
    <w:p w14:paraId="519FD3AE" w14:textId="77777777" w:rsidR="003532D9" w:rsidRDefault="003532D9" w:rsidP="009B2254">
      <w:pPr>
        <w:jc w:val="both"/>
        <w:rPr>
          <w:rFonts w:asciiTheme="minorHAnsi" w:hAnsiTheme="minorHAnsi" w:cstheme="minorHAnsi"/>
        </w:rPr>
      </w:pPr>
    </w:p>
    <w:p w14:paraId="4CB85170" w14:textId="6FAEEACC" w:rsidR="003532D9" w:rsidRPr="003532D9" w:rsidRDefault="003532D9" w:rsidP="009B2254">
      <w:pPr>
        <w:jc w:val="both"/>
        <w:rPr>
          <w:rFonts w:asciiTheme="minorHAnsi" w:hAnsiTheme="minorHAnsi" w:cstheme="minorHAnsi"/>
          <w:b/>
          <w:bCs/>
          <w:color w:val="C00000"/>
          <w:sz w:val="44"/>
          <w:szCs w:val="44"/>
        </w:rPr>
      </w:pPr>
      <w:r w:rsidRPr="003532D9">
        <w:rPr>
          <w:rFonts w:asciiTheme="minorHAnsi" w:hAnsiTheme="minorHAnsi" w:cstheme="minorHAnsi"/>
          <w:b/>
          <w:bCs/>
          <w:color w:val="C00000"/>
          <w:sz w:val="44"/>
          <w:szCs w:val="44"/>
        </w:rPr>
        <w:t>Informazioni storico-bibliografiche</w:t>
      </w:r>
    </w:p>
    <w:p w14:paraId="214671FD" w14:textId="4436294B" w:rsidR="003532D9" w:rsidRPr="005B275F" w:rsidRDefault="003532D9" w:rsidP="005B275F">
      <w:pPr>
        <w:pStyle w:val="body"/>
        <w:spacing w:before="0" w:beforeAutospacing="0" w:after="0" w:afterAutospacing="0"/>
        <w:jc w:val="both"/>
        <w:rPr>
          <w:rFonts w:asciiTheme="minorHAnsi" w:hAnsiTheme="minorHAnsi" w:cstheme="minorHAnsi"/>
          <w:sz w:val="18"/>
          <w:szCs w:val="18"/>
        </w:rPr>
      </w:pPr>
      <w:r w:rsidRPr="005B275F">
        <w:rPr>
          <w:rStyle w:val="Enfasicorsivo"/>
          <w:rFonts w:asciiTheme="minorHAnsi" w:hAnsiTheme="minorHAnsi" w:cstheme="minorHAnsi"/>
          <w:sz w:val="18"/>
          <w:szCs w:val="18"/>
        </w:rPr>
        <w:t>Phytopathologia Mediterranea</w:t>
      </w:r>
      <w:r w:rsidRPr="005B275F">
        <w:rPr>
          <w:rFonts w:asciiTheme="minorHAnsi" w:hAnsiTheme="minorHAnsi" w:cstheme="minorHAnsi"/>
          <w:sz w:val="18"/>
          <w:szCs w:val="18"/>
        </w:rPr>
        <w:t xml:space="preserve"> è una rivista internazionale edale curata </w:t>
      </w:r>
      <w:hyperlink r:id="rId8" w:tgtFrame="_blank" w:tooltip="Mediterranean Phytopathological Union" w:history="1">
        <w:r w:rsidRPr="005B275F">
          <w:rPr>
            <w:rStyle w:val="Collegamentoipertestuale"/>
            <w:rFonts w:asciiTheme="minorHAnsi" w:hAnsiTheme="minorHAnsi" w:cstheme="minorHAnsi"/>
            <w:sz w:val="18"/>
            <w:szCs w:val="18"/>
          </w:rPr>
          <w:t>dall’Unione Fitopatologica del Mediterraneo</w:t>
        </w:r>
      </w:hyperlink>
      <w:r w:rsidRPr="005B275F">
        <w:rPr>
          <w:rFonts w:asciiTheme="minorHAnsi" w:hAnsiTheme="minorHAnsi" w:cstheme="minorHAnsi"/>
          <w:sz w:val="18"/>
          <w:szCs w:val="18"/>
        </w:rPr>
        <w:t>. La missione della rivista è la promozione della salute delle piante per le colture mediterranee, il clima e le regioni, la produzione alimentare sicura e il trasferimento di nuove conoscenze sulle malattie delle piante e la loro gestione sostenibile.</w:t>
      </w:r>
      <w:r w:rsidR="005B275F">
        <w:rPr>
          <w:rFonts w:asciiTheme="minorHAnsi" w:hAnsiTheme="minorHAnsi" w:cstheme="minorHAnsi"/>
          <w:sz w:val="18"/>
          <w:szCs w:val="18"/>
        </w:rPr>
        <w:t xml:space="preserve"> </w:t>
      </w:r>
      <w:r w:rsidRPr="005B275F">
        <w:rPr>
          <w:rFonts w:asciiTheme="minorHAnsi" w:hAnsiTheme="minorHAnsi" w:cstheme="minorHAnsi"/>
          <w:sz w:val="18"/>
          <w:szCs w:val="18"/>
        </w:rPr>
        <w:t>La rivista si occupa di tutte le aree della patologia vegetale, tra cui eziologia, epidemiologia, controllo delle malattie, aspetti biochimici e fisiologici e utilizzo delle tecnologie molecolari. Tutti i tipi di agenti patogeni vegetali sono coperti, compresi funghi, oomiceti, nematodi, protozoi, batteri, fitoplasmi, virus e viroidi. La rivista presta anche un'attenzione particolare alla ricerca sulle micotossine, la gestione biologica e integrata delle malattie delle piante e l'uso di sostanze naturali nel controllo delle malattie e delle estie. La rivista si concentra sulla patologia delle colture mediterranee coltivate in tutto il mondo.</w:t>
      </w:r>
      <w:r w:rsidR="005B275F">
        <w:rPr>
          <w:rFonts w:asciiTheme="minorHAnsi" w:hAnsiTheme="minorHAnsi" w:cstheme="minorHAnsi"/>
          <w:sz w:val="18"/>
          <w:szCs w:val="18"/>
        </w:rPr>
        <w:t xml:space="preserve"> </w:t>
      </w:r>
      <w:r w:rsidRPr="005B275F">
        <w:rPr>
          <w:rFonts w:asciiTheme="minorHAnsi" w:hAnsiTheme="minorHAnsi" w:cstheme="minorHAnsi"/>
          <w:sz w:val="18"/>
          <w:szCs w:val="18"/>
        </w:rPr>
        <w:t xml:space="preserve">Il </w:t>
      </w:r>
      <w:hyperlink r:id="rId9" w:tooltip="Editorial Board" w:history="1">
        <w:r w:rsidRPr="005B275F">
          <w:rPr>
            <w:rStyle w:val="Collegamentoipertestuale"/>
            <w:rFonts w:asciiTheme="minorHAnsi" w:hAnsiTheme="minorHAnsi" w:cstheme="minorHAnsi"/>
            <w:sz w:val="18"/>
            <w:szCs w:val="18"/>
          </w:rPr>
          <w:t>comitato editoriale</w:t>
        </w:r>
      </w:hyperlink>
      <w:r w:rsidRPr="005B275F">
        <w:rPr>
          <w:rFonts w:asciiTheme="minorHAnsi" w:hAnsiTheme="minorHAnsi" w:cstheme="minorHAnsi"/>
          <w:sz w:val="18"/>
          <w:szCs w:val="18"/>
        </w:rPr>
        <w:t xml:space="preserve"> di Phytopathologia Mediterranea è stato recentemente riorganizzato, sotto due redattori in capo e con un numero maggiore di editori.</w:t>
      </w:r>
      <w:r w:rsidR="005B275F">
        <w:rPr>
          <w:rFonts w:asciiTheme="minorHAnsi" w:hAnsiTheme="minorHAnsi" w:cstheme="minorHAnsi"/>
          <w:sz w:val="18"/>
          <w:szCs w:val="18"/>
        </w:rPr>
        <w:t xml:space="preserve"> </w:t>
      </w:r>
      <w:r w:rsidRPr="005B275F">
        <w:rPr>
          <w:rFonts w:asciiTheme="minorHAnsi" w:hAnsiTheme="minorHAnsi" w:cstheme="minorHAnsi"/>
          <w:sz w:val="18"/>
          <w:szCs w:val="18"/>
        </w:rPr>
        <w:t xml:space="preserve">Questi includono scienziati provenienti da 16 paesi che rappresentano ricercatori molto rispettati con una vasta gamma di competenze. La rivista comprende 3 numeri all'anno in cui </w:t>
      </w:r>
      <w:r w:rsidRPr="005B275F">
        <w:rPr>
          <w:rStyle w:val="Enfasigrassetto"/>
          <w:rFonts w:asciiTheme="minorHAnsi" w:hAnsiTheme="minorHAnsi" w:cstheme="minorHAnsi"/>
          <w:sz w:val="18"/>
          <w:szCs w:val="18"/>
        </w:rPr>
        <w:t>vengono</w:t>
      </w:r>
      <w:r w:rsidRPr="005B275F">
        <w:rPr>
          <w:rFonts w:asciiTheme="minorHAnsi" w:hAnsiTheme="minorHAnsi" w:cstheme="minorHAnsi"/>
          <w:sz w:val="18"/>
          <w:szCs w:val="18"/>
        </w:rPr>
        <w:t xml:space="preserve"> pubblicati </w:t>
      </w:r>
      <w:r w:rsidRPr="005B275F">
        <w:rPr>
          <w:rStyle w:val="Enfasigrassetto"/>
          <w:rFonts w:asciiTheme="minorHAnsi" w:hAnsiTheme="minorHAnsi" w:cstheme="minorHAnsi"/>
          <w:sz w:val="18"/>
          <w:szCs w:val="18"/>
        </w:rPr>
        <w:t>articoli di revisione</w:t>
      </w:r>
      <w:r w:rsidRPr="005B275F">
        <w:rPr>
          <w:rFonts w:asciiTheme="minorHAnsi" w:hAnsiTheme="minorHAnsi" w:cstheme="minorHAnsi"/>
          <w:sz w:val="18"/>
          <w:szCs w:val="18"/>
        </w:rPr>
        <w:t xml:space="preserve">, </w:t>
      </w:r>
      <w:r w:rsidRPr="005B275F">
        <w:rPr>
          <w:rStyle w:val="Enfasigrassetto"/>
          <w:rFonts w:asciiTheme="minorHAnsi" w:hAnsiTheme="minorHAnsi" w:cstheme="minorHAnsi"/>
          <w:sz w:val="18"/>
          <w:szCs w:val="18"/>
        </w:rPr>
        <w:t>articoli di ricerca</w:t>
      </w:r>
      <w:r w:rsidRPr="005B275F">
        <w:rPr>
          <w:rFonts w:asciiTheme="minorHAnsi" w:hAnsiTheme="minorHAnsi" w:cstheme="minorHAnsi"/>
          <w:sz w:val="18"/>
          <w:szCs w:val="18"/>
        </w:rPr>
        <w:t xml:space="preserve"> originali e </w:t>
      </w:r>
      <w:r w:rsidRPr="005B275F">
        <w:rPr>
          <w:rStyle w:val="Enfasigrassetto"/>
          <w:rFonts w:asciiTheme="minorHAnsi" w:hAnsiTheme="minorHAnsi" w:cstheme="minorHAnsi"/>
          <w:sz w:val="18"/>
          <w:szCs w:val="18"/>
        </w:rPr>
        <w:t>note brevi</w:t>
      </w:r>
      <w:r w:rsidRPr="005B275F">
        <w:rPr>
          <w:rFonts w:asciiTheme="minorHAnsi" w:hAnsiTheme="minorHAnsi" w:cstheme="minorHAnsi"/>
          <w:sz w:val="18"/>
          <w:szCs w:val="18"/>
        </w:rPr>
        <w:t xml:space="preserve">. </w:t>
      </w:r>
      <w:r w:rsidRPr="005B275F">
        <w:rPr>
          <w:rStyle w:val="Enfasigrassetto"/>
          <w:rFonts w:asciiTheme="minorHAnsi" w:hAnsiTheme="minorHAnsi" w:cstheme="minorHAnsi"/>
          <w:sz w:val="18"/>
          <w:szCs w:val="18"/>
        </w:rPr>
        <w:t>Nuove sezioni</w:t>
      </w:r>
      <w:r w:rsidRPr="005B275F">
        <w:rPr>
          <w:rFonts w:asciiTheme="minorHAnsi" w:hAnsiTheme="minorHAnsi" w:cstheme="minorHAnsi"/>
          <w:sz w:val="18"/>
          <w:szCs w:val="18"/>
        </w:rPr>
        <w:t xml:space="preserve"> sono state aggiunte come </w:t>
      </w:r>
      <w:r w:rsidRPr="005B275F">
        <w:rPr>
          <w:rStyle w:val="Enfasigrassetto"/>
          <w:rFonts w:asciiTheme="minorHAnsi" w:hAnsiTheme="minorHAnsi" w:cstheme="minorHAnsi"/>
          <w:sz w:val="18"/>
          <w:szCs w:val="18"/>
        </w:rPr>
        <w:t>nuovi o insoliti rapporti sulle malattie</w:t>
      </w:r>
      <w:r w:rsidRPr="005B275F">
        <w:rPr>
          <w:rFonts w:asciiTheme="minorHAnsi" w:hAnsiTheme="minorHAnsi" w:cstheme="minorHAnsi"/>
          <w:sz w:val="18"/>
          <w:szCs w:val="18"/>
        </w:rPr>
        <w:t xml:space="preserve">, </w:t>
      </w:r>
      <w:r w:rsidRPr="005B275F">
        <w:rPr>
          <w:rStyle w:val="Enfasigrassetto"/>
          <w:rFonts w:asciiTheme="minorHAnsi" w:hAnsiTheme="minorHAnsi" w:cstheme="minorHAnsi"/>
          <w:sz w:val="18"/>
          <w:szCs w:val="18"/>
        </w:rPr>
        <w:t>notizie e prospettive</w:t>
      </w:r>
      <w:r w:rsidRPr="005B275F">
        <w:rPr>
          <w:rFonts w:asciiTheme="minorHAnsi" w:hAnsiTheme="minorHAnsi" w:cstheme="minorHAnsi"/>
          <w:sz w:val="18"/>
          <w:szCs w:val="18"/>
        </w:rPr>
        <w:t xml:space="preserve">, </w:t>
      </w:r>
      <w:r w:rsidRPr="005B275F">
        <w:rPr>
          <w:rStyle w:val="Enfasigrassetto"/>
          <w:rFonts w:asciiTheme="minorHAnsi" w:hAnsiTheme="minorHAnsi" w:cstheme="minorHAnsi"/>
          <w:sz w:val="18"/>
          <w:szCs w:val="18"/>
        </w:rPr>
        <w:t>commenti</w:t>
      </w:r>
      <w:r w:rsidRPr="005B275F">
        <w:rPr>
          <w:rFonts w:asciiTheme="minorHAnsi" w:hAnsiTheme="minorHAnsi" w:cstheme="minorHAnsi"/>
          <w:sz w:val="18"/>
          <w:szCs w:val="18"/>
        </w:rPr>
        <w:t xml:space="preserve">, </w:t>
      </w:r>
      <w:r w:rsidRPr="005B275F">
        <w:rPr>
          <w:rStyle w:val="Enfasigrassetto"/>
          <w:rFonts w:asciiTheme="minorHAnsi" w:hAnsiTheme="minorHAnsi" w:cstheme="minorHAnsi"/>
          <w:sz w:val="18"/>
          <w:szCs w:val="18"/>
        </w:rPr>
        <w:t>argomenti attuali</w:t>
      </w:r>
      <w:r w:rsidRPr="005B275F">
        <w:rPr>
          <w:rFonts w:asciiTheme="minorHAnsi" w:hAnsiTheme="minorHAnsi" w:cstheme="minorHAnsi"/>
          <w:sz w:val="18"/>
          <w:szCs w:val="18"/>
        </w:rPr>
        <w:t xml:space="preserve">, </w:t>
      </w:r>
      <w:r w:rsidRPr="005B275F">
        <w:rPr>
          <w:rStyle w:val="Enfasigrassetto"/>
          <w:rFonts w:asciiTheme="minorHAnsi" w:hAnsiTheme="minorHAnsi" w:cstheme="minorHAnsi"/>
          <w:sz w:val="18"/>
          <w:szCs w:val="18"/>
        </w:rPr>
        <w:t>notizie e opinioni</w:t>
      </w:r>
      <w:r w:rsidRPr="005B275F">
        <w:rPr>
          <w:rFonts w:asciiTheme="minorHAnsi" w:hAnsiTheme="minorHAnsi" w:cstheme="minorHAnsi"/>
          <w:sz w:val="18"/>
          <w:szCs w:val="18"/>
        </w:rPr>
        <w:t xml:space="preserve"> e </w:t>
      </w:r>
      <w:r w:rsidRPr="005B275F">
        <w:rPr>
          <w:rStyle w:val="Enfasigrassetto"/>
          <w:rFonts w:asciiTheme="minorHAnsi" w:hAnsiTheme="minorHAnsi" w:cstheme="minorHAnsi"/>
          <w:sz w:val="18"/>
          <w:szCs w:val="18"/>
        </w:rPr>
        <w:t>lettere all'editore</w:t>
      </w:r>
      <w:r w:rsidRPr="005B275F">
        <w:rPr>
          <w:rFonts w:asciiTheme="minorHAnsi" w:hAnsiTheme="minorHAnsi" w:cstheme="minorHAnsi"/>
          <w:sz w:val="18"/>
          <w:szCs w:val="18"/>
        </w:rPr>
        <w:t xml:space="preserve">. L'ampliamento della portata, insieme ai contributi regolari dei ricercatori, migliorerà il raggiungimento </w:t>
      </w:r>
      <w:r w:rsidRPr="005B275F">
        <w:rPr>
          <w:rFonts w:asciiTheme="minorHAnsi" w:hAnsiTheme="minorHAnsi" w:cstheme="minorHAnsi"/>
          <w:sz w:val="18"/>
          <w:szCs w:val="18"/>
        </w:rPr>
        <w:lastRenderedPageBreak/>
        <w:t xml:space="preserve">dell'obiettivo del Journal di essere un forum di comunicazione e discussione attivo su tutti gli aspetti della patologia vegetale, in particolare relativi alle piante mediterranee, ma anche più in generale in tutti gli aspetti della nostra disciplina scientifica. La rivista accetta anche </w:t>
      </w:r>
      <w:r w:rsidRPr="005B275F">
        <w:rPr>
          <w:rStyle w:val="Enfasigrassetto"/>
          <w:rFonts w:asciiTheme="minorHAnsi" w:hAnsiTheme="minorHAnsi" w:cstheme="minorHAnsi"/>
          <w:sz w:val="18"/>
          <w:szCs w:val="18"/>
        </w:rPr>
        <w:t>le recensioni</w:t>
      </w:r>
      <w:r w:rsidRPr="005B275F">
        <w:rPr>
          <w:rFonts w:asciiTheme="minorHAnsi" w:hAnsiTheme="minorHAnsi" w:cstheme="minorHAnsi"/>
          <w:sz w:val="18"/>
          <w:szCs w:val="18"/>
        </w:rPr>
        <w:t xml:space="preserve"> di di interesse per i fitopatologi del Mediterraneo. I documenti sono pubblicati in inglese.</w:t>
      </w:r>
    </w:p>
    <w:p w14:paraId="268FC031"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w:t>
      </w:r>
    </w:p>
    <w:p w14:paraId="73CCE400"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FREQUENZA DI PUBBLICAZIONE</w:t>
      </w:r>
    </w:p>
    <w:p w14:paraId="1653C9CA"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 documenti saranno pubblicati online non appena saranno accettati e contrassegnati con un codice DOI. L’ultimo record bibliografico completo per ogni articolo (pagina iniziale-finale) sarà pubblicato con le copie cartacee di Phytopathologia Mediterranea. I manoscritti sono accettati in qualsiasi momento attraverso il sistema di invio online. I numeri e le copie cartacee sono pubblicati tre volte all'anno.</w:t>
      </w:r>
    </w:p>
    <w:p w14:paraId="2771128A"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w:t>
      </w:r>
    </w:p>
    <w:p w14:paraId="37E10EE7"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CONTRIBUTO ALLA PUBBLICAZIONE sulla rivista di accesso OPEN Phytopathologia Mediterranea</w:t>
      </w:r>
    </w:p>
    <w:tbl>
      <w:tblPr>
        <w:tblW w:w="7845" w:type="dxa"/>
        <w:tblCellSpacing w:w="15" w:type="dxa"/>
        <w:tblCellMar>
          <w:top w:w="15" w:type="dxa"/>
          <w:left w:w="15" w:type="dxa"/>
          <w:bottom w:w="15" w:type="dxa"/>
          <w:right w:w="15" w:type="dxa"/>
        </w:tblCellMar>
        <w:tblLook w:val="04A0" w:firstRow="1" w:lastRow="0" w:firstColumn="1" w:lastColumn="0" w:noHBand="0" w:noVBand="1"/>
      </w:tblPr>
      <w:tblGrid>
        <w:gridCol w:w="3290"/>
        <w:gridCol w:w="1695"/>
        <w:gridCol w:w="2030"/>
        <w:gridCol w:w="830"/>
      </w:tblGrid>
      <w:tr w:rsidR="003532D9" w:rsidRPr="005B275F" w14:paraId="7C5088DB" w14:textId="77777777" w:rsidTr="003532D9">
        <w:trPr>
          <w:tblCellSpacing w:w="15" w:type="dxa"/>
        </w:trPr>
        <w:tc>
          <w:tcPr>
            <w:tcW w:w="0" w:type="auto"/>
            <w:gridSpan w:val="4"/>
            <w:tcBorders>
              <w:top w:val="nil"/>
              <w:left w:val="nil"/>
              <w:bottom w:val="nil"/>
              <w:right w:val="nil"/>
            </w:tcBorders>
            <w:vAlign w:val="center"/>
            <w:hideMark/>
          </w:tcPr>
          <w:p w14:paraId="5005746E" w14:textId="77777777" w:rsidR="003532D9" w:rsidRPr="005B275F" w:rsidRDefault="003532D9" w:rsidP="005B275F">
            <w:pPr>
              <w:jc w:val="both"/>
              <w:rPr>
                <w:rFonts w:asciiTheme="minorHAnsi" w:hAnsiTheme="minorHAnsi" w:cstheme="minorHAnsi"/>
                <w:sz w:val="18"/>
                <w:szCs w:val="18"/>
              </w:rPr>
            </w:pPr>
            <w:r w:rsidRPr="005B275F">
              <w:rPr>
                <w:rFonts w:asciiTheme="minorHAnsi" w:hAnsiTheme="minorHAnsi" w:cstheme="minorHAnsi"/>
                <w:sz w:val="18"/>
                <w:szCs w:val="18"/>
              </w:rPr>
              <w:t> </w:t>
            </w:r>
          </w:p>
        </w:tc>
      </w:tr>
      <w:tr w:rsidR="003532D9" w:rsidRPr="005B275F" w14:paraId="555576AC" w14:textId="77777777" w:rsidTr="003532D9">
        <w:trPr>
          <w:tblCellSpacing w:w="15" w:type="dxa"/>
        </w:trPr>
        <w:tc>
          <w:tcPr>
            <w:tcW w:w="0" w:type="auto"/>
            <w:vAlign w:val="center"/>
            <w:hideMark/>
          </w:tcPr>
          <w:p w14:paraId="389F4527"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grassetto"/>
                <w:rFonts w:asciiTheme="minorHAnsi" w:hAnsiTheme="minorHAnsi" w:cstheme="minorHAnsi"/>
                <w:sz w:val="18"/>
                <w:szCs w:val="18"/>
              </w:rPr>
              <w:t>La posizione dell'autore</w:t>
            </w:r>
          </w:p>
        </w:tc>
        <w:tc>
          <w:tcPr>
            <w:tcW w:w="0" w:type="auto"/>
            <w:vAlign w:val="center"/>
            <w:hideMark/>
          </w:tcPr>
          <w:p w14:paraId="512CABEE"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grassetto"/>
                <w:rFonts w:asciiTheme="minorHAnsi" w:hAnsiTheme="minorHAnsi" w:cstheme="minorHAnsi"/>
                <w:sz w:val="18"/>
                <w:szCs w:val="18"/>
              </w:rPr>
              <w:t>La ricerca</w:t>
            </w:r>
            <w:r w:rsidRPr="005B275F">
              <w:rPr>
                <w:rFonts w:asciiTheme="minorHAnsi" w:hAnsiTheme="minorHAnsi" w:cstheme="minorHAnsi"/>
                <w:sz w:val="18"/>
                <w:szCs w:val="18"/>
              </w:rPr>
              <w:t xml:space="preserve"> </w:t>
            </w:r>
          </w:p>
          <w:p w14:paraId="39CC9D3B"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grassetto"/>
                <w:rFonts w:asciiTheme="minorHAnsi" w:hAnsiTheme="minorHAnsi" w:cstheme="minorHAnsi"/>
                <w:sz w:val="18"/>
                <w:szCs w:val="18"/>
              </w:rPr>
              <w:t>I documenti</w:t>
            </w:r>
          </w:p>
        </w:tc>
        <w:tc>
          <w:tcPr>
            <w:tcW w:w="0" w:type="auto"/>
            <w:vAlign w:val="center"/>
            <w:hideMark/>
          </w:tcPr>
          <w:p w14:paraId="79B8BD1E"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grassetto"/>
                <w:rFonts w:asciiTheme="minorHAnsi" w:hAnsiTheme="minorHAnsi" w:cstheme="minorHAnsi"/>
                <w:sz w:val="18"/>
                <w:szCs w:val="18"/>
              </w:rPr>
              <w:t>Breve di breve</w:t>
            </w:r>
            <w:r w:rsidRPr="005B275F">
              <w:rPr>
                <w:rFonts w:asciiTheme="minorHAnsi" w:hAnsiTheme="minorHAnsi" w:cstheme="minorHAnsi"/>
                <w:sz w:val="18"/>
                <w:szCs w:val="18"/>
              </w:rPr>
              <w:t xml:space="preserve"> </w:t>
            </w:r>
          </w:p>
          <w:p w14:paraId="3F3C1C30"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grassetto"/>
                <w:rFonts w:asciiTheme="minorHAnsi" w:hAnsiTheme="minorHAnsi" w:cstheme="minorHAnsi"/>
                <w:sz w:val="18"/>
                <w:szCs w:val="18"/>
              </w:rPr>
              <w:t>Note di nota</w:t>
            </w:r>
          </w:p>
        </w:tc>
        <w:tc>
          <w:tcPr>
            <w:tcW w:w="0" w:type="auto"/>
            <w:vAlign w:val="center"/>
            <w:hideMark/>
          </w:tcPr>
          <w:p w14:paraId="001233AF" w14:textId="77777777" w:rsidR="003532D9" w:rsidRPr="005B275F" w:rsidRDefault="003532D9" w:rsidP="005B275F">
            <w:pPr>
              <w:jc w:val="both"/>
              <w:rPr>
                <w:rFonts w:asciiTheme="minorHAnsi" w:hAnsiTheme="minorHAnsi" w:cstheme="minorHAnsi"/>
                <w:sz w:val="18"/>
                <w:szCs w:val="18"/>
              </w:rPr>
            </w:pPr>
          </w:p>
        </w:tc>
      </w:tr>
      <w:tr w:rsidR="003532D9" w:rsidRPr="005B275F" w14:paraId="0AC41BAC" w14:textId="77777777" w:rsidTr="003532D9">
        <w:trPr>
          <w:tblCellSpacing w:w="15" w:type="dxa"/>
        </w:trPr>
        <w:tc>
          <w:tcPr>
            <w:tcW w:w="0" w:type="auto"/>
            <w:vAlign w:val="center"/>
            <w:hideMark/>
          </w:tcPr>
          <w:p w14:paraId="4AB683DF"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Membro MPU *</w:t>
            </w:r>
          </w:p>
        </w:tc>
        <w:tc>
          <w:tcPr>
            <w:tcW w:w="0" w:type="auto"/>
            <w:vAlign w:val="center"/>
            <w:hideMark/>
          </w:tcPr>
          <w:p w14:paraId="56EDCBE4"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€ 500</w:t>
            </w:r>
          </w:p>
        </w:tc>
        <w:tc>
          <w:tcPr>
            <w:tcW w:w="0" w:type="auto"/>
            <w:vAlign w:val="center"/>
            <w:hideMark/>
          </w:tcPr>
          <w:p w14:paraId="7BB3C769"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€ 400</w:t>
            </w:r>
          </w:p>
        </w:tc>
        <w:tc>
          <w:tcPr>
            <w:tcW w:w="0" w:type="auto"/>
            <w:vAlign w:val="center"/>
            <w:hideMark/>
          </w:tcPr>
          <w:p w14:paraId="3AF60254"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€ 350</w:t>
            </w:r>
          </w:p>
        </w:tc>
      </w:tr>
      <w:tr w:rsidR="003532D9" w:rsidRPr="005B275F" w14:paraId="5AA0C5A9" w14:textId="77777777" w:rsidTr="003532D9">
        <w:trPr>
          <w:tblCellSpacing w:w="15" w:type="dxa"/>
        </w:trPr>
        <w:tc>
          <w:tcPr>
            <w:tcW w:w="0" w:type="auto"/>
            <w:vAlign w:val="center"/>
            <w:hideMark/>
          </w:tcPr>
          <w:p w14:paraId="20665015"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Membro non-MPU</w:t>
            </w:r>
          </w:p>
        </w:tc>
        <w:tc>
          <w:tcPr>
            <w:tcW w:w="0" w:type="auto"/>
            <w:vAlign w:val="center"/>
            <w:hideMark/>
          </w:tcPr>
          <w:p w14:paraId="101AEAC2"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€ 750</w:t>
            </w:r>
          </w:p>
        </w:tc>
        <w:tc>
          <w:tcPr>
            <w:tcW w:w="0" w:type="auto"/>
            <w:vAlign w:val="center"/>
            <w:hideMark/>
          </w:tcPr>
          <w:p w14:paraId="73ACBFA2"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€ 600</w:t>
            </w:r>
          </w:p>
        </w:tc>
        <w:tc>
          <w:tcPr>
            <w:tcW w:w="0" w:type="auto"/>
            <w:vAlign w:val="center"/>
            <w:hideMark/>
          </w:tcPr>
          <w:p w14:paraId="45409BAB"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€ 550</w:t>
            </w:r>
          </w:p>
        </w:tc>
      </w:tr>
    </w:tbl>
    <w:p w14:paraId="64CBDCBA"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corsivo"/>
          <w:rFonts w:asciiTheme="minorHAnsi" w:hAnsiTheme="minorHAnsi" w:cstheme="minorHAnsi"/>
          <w:sz w:val="18"/>
          <w:szCs w:val="18"/>
        </w:rPr>
        <w:t>Pagine a colori: + € 50 per ogni pagina a colori prevista nella versione stampata</w:t>
      </w:r>
    </w:p>
    <w:p w14:paraId="548E554C" w14:textId="59A590E0"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Le spese per i documenti di revisione saranno concordate con l'ufficio editoriale.</w:t>
      </w:r>
      <w:r w:rsidR="005B275F">
        <w:rPr>
          <w:rFonts w:asciiTheme="minorHAnsi" w:hAnsiTheme="minorHAnsi" w:cstheme="minorHAnsi"/>
          <w:sz w:val="18"/>
          <w:szCs w:val="18"/>
        </w:rPr>
        <w:t xml:space="preserve"> </w:t>
      </w:r>
      <w:r w:rsidRPr="005B275F">
        <w:rPr>
          <w:rFonts w:asciiTheme="minorHAnsi" w:hAnsiTheme="minorHAnsi" w:cstheme="minorHAnsi"/>
          <w:sz w:val="18"/>
          <w:szCs w:val="18"/>
        </w:rPr>
        <w:t>I documenti in materia di editing saranno pubblicati, a seguito dell'ordine di data di accettazione, nel primo numero disponibile dopo il ricevimento di una prova di pagamento delle spese cartacee.</w:t>
      </w:r>
      <w:r w:rsidR="005B275F">
        <w:rPr>
          <w:rFonts w:asciiTheme="minorHAnsi" w:hAnsiTheme="minorHAnsi" w:cstheme="minorHAnsi"/>
          <w:sz w:val="18"/>
          <w:szCs w:val="18"/>
        </w:rPr>
        <w:t xml:space="preserve"> </w:t>
      </w:r>
      <w:r w:rsidRPr="005B275F">
        <w:rPr>
          <w:rFonts w:asciiTheme="minorHAnsi" w:hAnsiTheme="minorHAnsi" w:cstheme="minorHAnsi"/>
          <w:sz w:val="18"/>
          <w:szCs w:val="18"/>
        </w:rPr>
        <w:t>Per gli autori in paesi che hanno problemi nel trasferire denaro in Europa ti consigliamo di contattare, come fanno diversi autori, aziende che trasferiranno denaro a conti stranieri.</w:t>
      </w:r>
    </w:p>
    <w:p w14:paraId="736B28DC"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w:t>
      </w:r>
    </w:p>
    <w:p w14:paraId="710B8178"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INFORMAZIONI DI WAIVER</w:t>
      </w:r>
    </w:p>
    <w:p w14:paraId="6172DB0B"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xml:space="preserve">Le deroghe alle tasse non si applicano alla Firenze University Press perché il nostro finanziamento non si basa sulle spese d'autore. </w:t>
      </w:r>
    </w:p>
    <w:p w14:paraId="0E4A17FB"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 </w:t>
      </w:r>
    </w:p>
    <w:p w14:paraId="4B86A9A3" w14:textId="77777777" w:rsidR="003532D9" w:rsidRPr="005B275F" w:rsidRDefault="003532D9" w:rsidP="005B275F">
      <w:pPr>
        <w:pStyle w:val="Titolo3"/>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INDICAZIONE e ASTRAZIONE</w:t>
      </w:r>
    </w:p>
    <w:p w14:paraId="0826A790" w14:textId="77777777" w:rsidR="003532D9" w:rsidRPr="005B275F" w:rsidRDefault="003532D9" w:rsidP="005B275F">
      <w:pPr>
        <w:pStyle w:val="NormaleWeb"/>
        <w:spacing w:before="0" w:beforeAutospacing="0" w:after="0" w:afterAutospacing="0"/>
        <w:jc w:val="both"/>
        <w:rPr>
          <w:rFonts w:asciiTheme="minorHAnsi" w:hAnsiTheme="minorHAnsi" w:cstheme="minorHAnsi"/>
          <w:sz w:val="18"/>
          <w:szCs w:val="18"/>
        </w:rPr>
      </w:pPr>
      <w:r w:rsidRPr="005B275F">
        <w:rPr>
          <w:rStyle w:val="Enfasicorsivo"/>
          <w:rFonts w:asciiTheme="minorHAnsi" w:hAnsiTheme="minorHAnsi" w:cstheme="minorHAnsi"/>
          <w:b/>
          <w:bCs/>
          <w:sz w:val="18"/>
          <w:szCs w:val="18"/>
        </w:rPr>
        <w:t>Phytoppathologia Mediterranea</w:t>
      </w:r>
      <w:r w:rsidRPr="005B275F">
        <w:rPr>
          <w:rStyle w:val="Enfasigrassetto"/>
          <w:rFonts w:asciiTheme="minorHAnsi" w:hAnsiTheme="minorHAnsi" w:cstheme="minorHAnsi"/>
          <w:sz w:val="18"/>
          <w:szCs w:val="18"/>
        </w:rPr>
        <w:t xml:space="preserve"> è indicizzato in:</w:t>
      </w:r>
    </w:p>
    <w:p w14:paraId="4DF6EE84"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ACNP Catalogo Italiano dei Periodici</w:t>
      </w:r>
    </w:p>
    <w:p w14:paraId="1529286E"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AGRICOLA di AGRICOLA</w:t>
      </w:r>
    </w:p>
    <w:p w14:paraId="6700BBB5"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AGRIS</w:t>
      </w:r>
    </w:p>
    <w:p w14:paraId="222DEDFD"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Motore di ricerca accademico BASE Bielefeld</w:t>
      </w:r>
    </w:p>
    <w:p w14:paraId="570FD794"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Riviste di scienze biologiche PQ</w:t>
      </w:r>
    </w:p>
    <w:p w14:paraId="15CE2C59"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BIOSIS Anteprima REUTERS THOMSON</w:t>
      </w:r>
    </w:p>
    <w:p w14:paraId="2188152C"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CABI – Gli abstract</w:t>
      </w:r>
    </w:p>
    <w:p w14:paraId="7CA0ED5B"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CABI – Gli abstract dell’orticoltura</w:t>
      </w:r>
    </w:p>
    <w:p w14:paraId="44BEBAFD"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Illuminazione di CSA</w:t>
      </w:r>
    </w:p>
    <w:p w14:paraId="64184A5C"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Informazioni su EBSCO</w:t>
      </w:r>
    </w:p>
    <w:p w14:paraId="12E98C15"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EZB–Elektronische Zeitschriftenbibliothek – Università-tsbibliothek Regensburg</w:t>
      </w:r>
    </w:p>
    <w:p w14:paraId="24AFC13F"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Lo studioso di Google</w:t>
      </w:r>
    </w:p>
    <w:p w14:paraId="05954989"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JournalSeek – Un database ricercabile di riviste online</w:t>
      </w:r>
    </w:p>
    <w:p w14:paraId="4B32B05C"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JournalTOCs – Riviste di diario dei contenuti (TOC)</w:t>
      </w:r>
    </w:p>
    <w:p w14:paraId="72A49DF9"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JSTOR</w:t>
      </w:r>
    </w:p>
    <w:p w14:paraId="304D5085"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Il JURN</w:t>
      </w:r>
    </w:p>
    <w:p w14:paraId="2116C9EC"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Scienze naturali Riviste PQ</w:t>
      </w:r>
    </w:p>
    <w:p w14:paraId="024D20C7"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NewJour – Riviste elettroniche e newsletter, Università di Georgetown</w:t>
      </w:r>
    </w:p>
    <w:p w14:paraId="63EF350D"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Ornamentale Orticoltura CABI</w:t>
      </w:r>
    </w:p>
    <w:p w14:paraId="6AD32DDB"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PLEIADI– Portale per la Letteratura scientifica Elettronica Italiana su Archivi aperti e Depositi Istituzionali</w:t>
      </w:r>
    </w:p>
    <w:p w14:paraId="42931E3F"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Pianta Allevamento Astratto CABI</w:t>
      </w:r>
    </w:p>
    <w:p w14:paraId="20FC421C"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La richiesta</w:t>
      </w:r>
    </w:p>
    <w:p w14:paraId="0881033E"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Indice di citazione della scienza ha ampliato THOMSON REUTERS</w:t>
      </w:r>
    </w:p>
    <w:p w14:paraId="5866178C"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Scirus ELSEVIER</w:t>
      </w:r>
    </w:p>
    <w:p w14:paraId="5FA22E46"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Le riviste di SciTech PQ</w:t>
      </w:r>
    </w:p>
    <w:p w14:paraId="6BD61A27"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SciVerse Scopus ELSEVIER</w:t>
      </w:r>
    </w:p>
    <w:p w14:paraId="0FB64B7F"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Searchteam</w:t>
      </w:r>
    </w:p>
    <w:p w14:paraId="5F7B0E64"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Elenco dei periodici di Ulrich</w:t>
      </w:r>
    </w:p>
    <w:p w14:paraId="0EE40891" w14:textId="77777777" w:rsidR="003532D9" w:rsidRPr="005B275F" w:rsidRDefault="003532D9" w:rsidP="005B275F">
      <w:pPr>
        <w:pStyle w:val="show"/>
        <w:numPr>
          <w:ilvl w:val="0"/>
          <w:numId w:val="1"/>
        </w:numPr>
        <w:spacing w:before="0" w:beforeAutospacing="0" w:after="0" w:afterAutospacing="0"/>
        <w:jc w:val="both"/>
        <w:rPr>
          <w:rFonts w:asciiTheme="minorHAnsi" w:hAnsiTheme="minorHAnsi" w:cstheme="minorHAnsi"/>
          <w:sz w:val="18"/>
          <w:szCs w:val="18"/>
        </w:rPr>
      </w:pPr>
      <w:r w:rsidRPr="005B275F">
        <w:rPr>
          <w:rFonts w:asciiTheme="minorHAnsi" w:hAnsiTheme="minorHAnsi" w:cstheme="minorHAnsi"/>
          <w:sz w:val="18"/>
          <w:szCs w:val="18"/>
        </w:rPr>
        <w:t>Il gatto del mondo</w:t>
      </w:r>
    </w:p>
    <w:p w14:paraId="205C2484" w14:textId="5D70DF8E" w:rsidR="003532D9" w:rsidRPr="005B275F" w:rsidRDefault="003532D9" w:rsidP="005B275F">
      <w:pPr>
        <w:jc w:val="both"/>
        <w:rPr>
          <w:rFonts w:asciiTheme="minorHAnsi" w:hAnsiTheme="minorHAnsi" w:cstheme="minorHAnsi"/>
          <w:sz w:val="18"/>
          <w:szCs w:val="18"/>
        </w:rPr>
      </w:pPr>
      <w:hyperlink r:id="rId10" w:history="1">
        <w:r w:rsidRPr="005B275F">
          <w:rPr>
            <w:rStyle w:val="Collegamentoipertestuale"/>
            <w:rFonts w:asciiTheme="minorHAnsi" w:hAnsiTheme="minorHAnsi" w:cstheme="minorHAnsi"/>
            <w:sz w:val="18"/>
            <w:szCs w:val="18"/>
          </w:rPr>
          <w:t>https://oajournals.fupress.net/index.php/pm/about</w:t>
        </w:r>
      </w:hyperlink>
    </w:p>
    <w:p w14:paraId="504FC13A" w14:textId="77777777" w:rsidR="003532D9" w:rsidRPr="005B275F" w:rsidRDefault="003532D9" w:rsidP="005B275F">
      <w:pPr>
        <w:jc w:val="both"/>
        <w:rPr>
          <w:rFonts w:asciiTheme="minorHAnsi" w:hAnsiTheme="minorHAnsi" w:cstheme="minorHAnsi"/>
          <w:sz w:val="18"/>
          <w:szCs w:val="18"/>
        </w:rPr>
      </w:pPr>
    </w:p>
    <w:p w14:paraId="7163490C" w14:textId="77777777" w:rsidR="0031062F" w:rsidRPr="005B275F" w:rsidRDefault="0031062F" w:rsidP="005B275F">
      <w:pPr>
        <w:jc w:val="both"/>
        <w:rPr>
          <w:rFonts w:asciiTheme="minorHAnsi" w:hAnsiTheme="minorHAnsi" w:cstheme="minorHAnsi"/>
          <w:sz w:val="18"/>
          <w:szCs w:val="18"/>
        </w:rPr>
      </w:pPr>
    </w:p>
    <w:sectPr w:rsidR="0031062F" w:rsidRPr="005B275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42036"/>
    <w:multiLevelType w:val="multilevel"/>
    <w:tmpl w:val="E1CC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293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66895"/>
    <w:rsid w:val="0031062F"/>
    <w:rsid w:val="003532D9"/>
    <w:rsid w:val="005B275F"/>
    <w:rsid w:val="009B2254"/>
    <w:rsid w:val="00D11F7B"/>
    <w:rsid w:val="00E84EF4"/>
    <w:rsid w:val="00F668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01C8"/>
  <w15:chartTrackingRefBased/>
  <w15:docId w15:val="{CC2B83D4-18FA-4270-8176-F7C534FB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2254"/>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3">
    <w:name w:val="heading 3"/>
    <w:basedOn w:val="Normale"/>
    <w:link w:val="Titolo3Carattere"/>
    <w:uiPriority w:val="9"/>
    <w:qFormat/>
    <w:rsid w:val="003532D9"/>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9B2254"/>
    <w:rPr>
      <w:color w:val="0000FF"/>
      <w:u w:val="single"/>
    </w:rPr>
  </w:style>
  <w:style w:type="character" w:styleId="Collegamentovisitato">
    <w:name w:val="FollowedHyperlink"/>
    <w:basedOn w:val="Carpredefinitoparagrafo"/>
    <w:uiPriority w:val="99"/>
    <w:semiHidden/>
    <w:unhideWhenUsed/>
    <w:rsid w:val="003532D9"/>
    <w:rPr>
      <w:color w:val="800080" w:themeColor="followedHyperlink"/>
      <w:u w:val="single"/>
    </w:rPr>
  </w:style>
  <w:style w:type="character" w:customStyle="1" w:styleId="Titolo3Carattere">
    <w:name w:val="Titolo 3 Carattere"/>
    <w:basedOn w:val="Carpredefinitoparagrafo"/>
    <w:link w:val="Titolo3"/>
    <w:uiPriority w:val="9"/>
    <w:rsid w:val="003532D9"/>
    <w:rPr>
      <w:rFonts w:ascii="Times New Roman" w:eastAsia="Times New Roman" w:hAnsi="Times New Roman" w:cs="Times New Roman"/>
      <w:b/>
      <w:bCs/>
      <w:kern w:val="0"/>
      <w:sz w:val="27"/>
      <w:szCs w:val="27"/>
      <w:lang w:eastAsia="it-IT"/>
      <w14:ligatures w14:val="none"/>
    </w:rPr>
  </w:style>
  <w:style w:type="paragraph" w:customStyle="1" w:styleId="body">
    <w:name w:val="body"/>
    <w:basedOn w:val="Normale"/>
    <w:rsid w:val="003532D9"/>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3532D9"/>
    <w:rPr>
      <w:i/>
      <w:iCs/>
    </w:rPr>
  </w:style>
  <w:style w:type="paragraph" w:styleId="NormaleWeb">
    <w:name w:val="Normal (Web)"/>
    <w:basedOn w:val="Normale"/>
    <w:uiPriority w:val="99"/>
    <w:semiHidden/>
    <w:unhideWhenUsed/>
    <w:rsid w:val="003532D9"/>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3532D9"/>
    <w:rPr>
      <w:b/>
      <w:bCs/>
    </w:rPr>
  </w:style>
  <w:style w:type="paragraph" w:customStyle="1" w:styleId="show">
    <w:name w:val="show"/>
    <w:basedOn w:val="Normale"/>
    <w:rsid w:val="003532D9"/>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353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834428">
      <w:bodyDiv w:val="1"/>
      <w:marLeft w:val="0"/>
      <w:marRight w:val="0"/>
      <w:marTop w:val="0"/>
      <w:marBottom w:val="0"/>
      <w:divBdr>
        <w:top w:val="none" w:sz="0" w:space="0" w:color="auto"/>
        <w:left w:val="none" w:sz="0" w:space="0" w:color="auto"/>
        <w:bottom w:val="none" w:sz="0" w:space="0" w:color="auto"/>
        <w:right w:val="none" w:sz="0" w:space="0" w:color="auto"/>
      </w:divBdr>
      <w:divsChild>
        <w:div w:id="1529417621">
          <w:marLeft w:val="0"/>
          <w:marRight w:val="0"/>
          <w:marTop w:val="0"/>
          <w:marBottom w:val="0"/>
          <w:divBdr>
            <w:top w:val="none" w:sz="0" w:space="0" w:color="auto"/>
            <w:left w:val="none" w:sz="0" w:space="0" w:color="auto"/>
            <w:bottom w:val="none" w:sz="0" w:space="0" w:color="auto"/>
            <w:right w:val="none" w:sz="0" w:space="0" w:color="auto"/>
          </w:divBdr>
        </w:div>
        <w:div w:id="67656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fi.it/istituzioni/mpu/" TargetMode="External"/><Relationship Id="rId3" Type="http://schemas.openxmlformats.org/officeDocument/2006/relationships/settings" Target="settings.xml"/><Relationship Id="rId7" Type="http://schemas.openxmlformats.org/officeDocument/2006/relationships/hyperlink" Target="https://oajournals.fupress.net/index.php/pm/issue/archiv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oajournals.fupress.net/index.php/pm/about" TargetMode="External"/><Relationship Id="rId4" Type="http://schemas.openxmlformats.org/officeDocument/2006/relationships/webSettings" Target="webSettings.xml"/><Relationship Id="rId9" Type="http://schemas.openxmlformats.org/officeDocument/2006/relationships/hyperlink" Target="https://oajournals.fupress.net/index.php/pm/about/editorialTea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844</Words>
  <Characters>4813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2023-12-04T17:32:00Z</dcterms:created>
  <dcterms:modified xsi:type="dcterms:W3CDTF">2023-12-04T18:40:00Z</dcterms:modified>
</cp:coreProperties>
</file>