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E84AC" w14:textId="1A68231C" w:rsidR="008F12CF" w:rsidRDefault="008F12CF" w:rsidP="001E14BE">
      <w:pPr>
        <w:spacing w:after="0" w:line="240" w:lineRule="auto"/>
        <w:jc w:val="both"/>
        <w:rPr>
          <w:rFonts w:cstheme="minorHAnsi"/>
          <w:bCs/>
          <w:i/>
          <w:sz w:val="16"/>
          <w:szCs w:val="16"/>
        </w:rPr>
      </w:pPr>
      <w:bookmarkStart w:id="0" w:name="_Hlk159911983"/>
      <w:r w:rsidRPr="001E14BE">
        <w:rPr>
          <w:rFonts w:cstheme="minorHAnsi"/>
          <w:b/>
          <w:bCs/>
          <w:color w:val="C00000"/>
          <w:sz w:val="44"/>
          <w:szCs w:val="44"/>
        </w:rPr>
        <w:t>AN6880</w:t>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r>
      <w:r w:rsidRPr="001E14BE">
        <w:rPr>
          <w:rFonts w:cstheme="minorHAnsi"/>
          <w:bCs/>
          <w:i/>
          <w:sz w:val="16"/>
          <w:szCs w:val="16"/>
        </w:rPr>
        <w:tab/>
        <w:t>Scheda creata il 13 marzo 2024</w:t>
      </w:r>
    </w:p>
    <w:p w14:paraId="482023C1" w14:textId="77777777" w:rsidR="001E14BE" w:rsidRPr="001E14BE" w:rsidRDefault="001E14BE" w:rsidP="001E14BE">
      <w:pPr>
        <w:spacing w:after="0" w:line="240" w:lineRule="auto"/>
        <w:jc w:val="both"/>
        <w:rPr>
          <w:rFonts w:cstheme="minorHAnsi"/>
          <w:bCs/>
          <w:i/>
          <w:sz w:val="16"/>
          <w:szCs w:val="16"/>
        </w:rPr>
      </w:pPr>
    </w:p>
    <w:bookmarkEnd w:id="0"/>
    <w:p w14:paraId="59849F43" w14:textId="1E343E8B" w:rsidR="008F12CF" w:rsidRPr="001E14BE" w:rsidRDefault="008F12CF" w:rsidP="001E14BE">
      <w:pPr>
        <w:spacing w:after="0" w:line="240" w:lineRule="auto"/>
        <w:jc w:val="both"/>
        <w:rPr>
          <w:rFonts w:cstheme="minorHAnsi"/>
          <w:sz w:val="44"/>
          <w:szCs w:val="44"/>
        </w:rPr>
      </w:pPr>
      <w:r w:rsidRPr="001E14BE">
        <w:rPr>
          <w:rFonts w:cstheme="minorHAnsi"/>
          <w:noProof/>
        </w:rPr>
        <w:drawing>
          <wp:anchor distT="0" distB="0" distL="114300" distR="114300" simplePos="0" relativeHeight="251658240" behindDoc="0" locked="0" layoutInCell="1" allowOverlap="1" wp14:anchorId="1FF2447F" wp14:editId="6B9DF5D8">
            <wp:simplePos x="0" y="0"/>
            <wp:positionH relativeFrom="column">
              <wp:posOffset>1270</wp:posOffset>
            </wp:positionH>
            <wp:positionV relativeFrom="paragraph">
              <wp:posOffset>1905</wp:posOffset>
            </wp:positionV>
            <wp:extent cx="3146400" cy="4438800"/>
            <wp:effectExtent l="0" t="0" r="0" b="0"/>
            <wp:wrapSquare wrapText="bothSides"/>
            <wp:docPr id="2143318582" name="Immagine 1" descr="UNIFICATO CATALOGO BIGLIETTI GRATTA E VINCI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UNIFICATO CATALOGO BIGLIETTI GRATTA E VINCI 20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6400" cy="44388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161247009"/>
      <w:r w:rsidRPr="001E14BE">
        <w:rPr>
          <w:rFonts w:cstheme="minorHAnsi"/>
          <w:b/>
          <w:bCs/>
          <w:color w:val="C00000"/>
          <w:sz w:val="44"/>
          <w:szCs w:val="44"/>
        </w:rPr>
        <w:t>Descrizione bibliografica</w:t>
      </w:r>
      <w:r w:rsidRPr="001E14BE">
        <w:rPr>
          <w:rFonts w:cstheme="minorHAnsi"/>
          <w:sz w:val="44"/>
          <w:szCs w:val="44"/>
        </w:rPr>
        <w:t xml:space="preserve"> </w:t>
      </w:r>
    </w:p>
    <w:bookmarkEnd w:id="1"/>
    <w:p w14:paraId="53AC6F70" w14:textId="5FFB9589" w:rsidR="008F12CF" w:rsidRPr="008F12CF" w:rsidRDefault="008F12CF" w:rsidP="001E14BE">
      <w:pPr>
        <w:spacing w:after="0" w:line="240" w:lineRule="auto"/>
        <w:jc w:val="both"/>
        <w:rPr>
          <w:rFonts w:eastAsia="Times New Roman" w:cstheme="minorHAnsi"/>
          <w:kern w:val="0"/>
          <w:sz w:val="24"/>
          <w:szCs w:val="24"/>
          <w:lang w:eastAsia="it-IT"/>
          <w14:ligatures w14:val="none"/>
        </w:rPr>
      </w:pPr>
      <w:r w:rsidRPr="001E14BE">
        <w:rPr>
          <w:rFonts w:eastAsia="Times New Roman" w:cstheme="minorHAnsi"/>
          <w:kern w:val="0"/>
          <w:sz w:val="24"/>
          <w:szCs w:val="24"/>
          <w:lang w:eastAsia="it-IT"/>
          <w14:ligatures w14:val="none"/>
        </w:rPr>
        <w:t>*</w:t>
      </w:r>
      <w:r w:rsidRPr="008F12CF">
        <w:rPr>
          <w:rFonts w:eastAsia="Times New Roman" w:cstheme="minorHAnsi"/>
          <w:b/>
          <w:bCs/>
          <w:kern w:val="0"/>
          <w:sz w:val="24"/>
          <w:szCs w:val="24"/>
          <w:lang w:eastAsia="it-IT"/>
          <w14:ligatures w14:val="none"/>
        </w:rPr>
        <w:t>Unificato. Biglietti gratta e vinci.</w:t>
      </w:r>
      <w:r w:rsidRPr="008F12CF">
        <w:rPr>
          <w:rFonts w:eastAsia="Times New Roman" w:cstheme="minorHAnsi"/>
          <w:kern w:val="0"/>
          <w:sz w:val="24"/>
          <w:szCs w:val="24"/>
          <w:lang w:eastAsia="it-IT"/>
          <w14:ligatures w14:val="none"/>
        </w:rPr>
        <w:t xml:space="preserve"> - 1 (2024)-</w:t>
      </w:r>
      <w:r w:rsidRPr="001E14BE">
        <w:rPr>
          <w:rFonts w:eastAsia="Times New Roman" w:cstheme="minorHAnsi"/>
          <w:kern w:val="0"/>
          <w:sz w:val="24"/>
          <w:szCs w:val="24"/>
          <w:lang w:eastAsia="it-IT"/>
          <w14:ligatures w14:val="none"/>
        </w:rPr>
        <w:t xml:space="preserve">    </w:t>
      </w:r>
      <w:r w:rsidRPr="008F12CF">
        <w:rPr>
          <w:rFonts w:eastAsia="Times New Roman" w:cstheme="minorHAnsi"/>
          <w:kern w:val="0"/>
          <w:sz w:val="24"/>
          <w:szCs w:val="24"/>
          <w:lang w:eastAsia="it-IT"/>
          <w14:ligatures w14:val="none"/>
        </w:rPr>
        <w:t>. - Milano : CIF, 2023-</w:t>
      </w:r>
      <w:r w:rsidRPr="001E14BE">
        <w:rPr>
          <w:rFonts w:eastAsia="Times New Roman" w:cstheme="minorHAnsi"/>
          <w:kern w:val="0"/>
          <w:sz w:val="24"/>
          <w:szCs w:val="24"/>
          <w:lang w:eastAsia="it-IT"/>
          <w14:ligatures w14:val="none"/>
        </w:rPr>
        <w:t xml:space="preserve">    </w:t>
      </w:r>
      <w:r w:rsidRPr="008F12CF">
        <w:rPr>
          <w:rFonts w:eastAsia="Times New Roman" w:cstheme="minorHAnsi"/>
          <w:kern w:val="0"/>
          <w:sz w:val="24"/>
          <w:szCs w:val="24"/>
          <w:lang w:eastAsia="it-IT"/>
          <w14:ligatures w14:val="none"/>
        </w:rPr>
        <w:t xml:space="preserve">. - volumi : ill. ; 24 cm. </w:t>
      </w:r>
      <w:r w:rsidRPr="001E14BE">
        <w:rPr>
          <w:rFonts w:eastAsia="Times New Roman" w:cstheme="minorHAnsi"/>
          <w:kern w:val="0"/>
          <w:sz w:val="24"/>
          <w:szCs w:val="24"/>
          <w:lang w:eastAsia="it-IT"/>
          <w14:ligatures w14:val="none"/>
        </w:rPr>
        <w:t>((</w:t>
      </w:r>
      <w:r w:rsidRPr="008F12CF">
        <w:rPr>
          <w:rFonts w:eastAsia="Times New Roman" w:cstheme="minorHAnsi"/>
          <w:kern w:val="0"/>
          <w:sz w:val="24"/>
          <w:szCs w:val="24"/>
          <w:lang w:eastAsia="it-IT"/>
          <w14:ligatures w14:val="none"/>
        </w:rPr>
        <w:t xml:space="preserve">Periodicità non dichiarata. </w:t>
      </w:r>
      <w:r w:rsidR="001E14BE">
        <w:rPr>
          <w:rFonts w:eastAsia="Times New Roman" w:cstheme="minorHAnsi"/>
          <w:kern w:val="0"/>
          <w:sz w:val="24"/>
          <w:szCs w:val="24"/>
          <w:lang w:eastAsia="it-IT"/>
          <w14:ligatures w14:val="none"/>
        </w:rPr>
        <w:t>–</w:t>
      </w:r>
      <w:r w:rsidRPr="001E14BE">
        <w:rPr>
          <w:rFonts w:eastAsia="Times New Roman" w:cstheme="minorHAnsi"/>
          <w:kern w:val="0"/>
          <w:sz w:val="24"/>
          <w:szCs w:val="24"/>
          <w:lang w:eastAsia="it-IT"/>
          <w14:ligatures w14:val="none"/>
        </w:rPr>
        <w:t xml:space="preserve"> </w:t>
      </w:r>
      <w:r w:rsidR="001E14BE">
        <w:rPr>
          <w:rFonts w:eastAsia="Times New Roman" w:cstheme="minorHAnsi"/>
          <w:kern w:val="0"/>
          <w:sz w:val="24"/>
          <w:szCs w:val="24"/>
          <w:lang w:eastAsia="it-IT"/>
          <w14:ligatures w14:val="none"/>
        </w:rPr>
        <w:t xml:space="preserve">A cura di F. Balzarelli, G. Bizzoni. - </w:t>
      </w:r>
      <w:r w:rsidRPr="001E14BE">
        <w:rPr>
          <w:rFonts w:cstheme="minorHAnsi"/>
          <w:sz w:val="24"/>
          <w:szCs w:val="24"/>
        </w:rPr>
        <w:t>BVE0957785</w:t>
      </w:r>
    </w:p>
    <w:p w14:paraId="7031931F" w14:textId="3D256E80" w:rsidR="008F12CF" w:rsidRPr="008F12CF" w:rsidRDefault="008F12CF" w:rsidP="001E14BE">
      <w:pPr>
        <w:spacing w:after="0" w:line="240" w:lineRule="auto"/>
        <w:jc w:val="both"/>
        <w:rPr>
          <w:rFonts w:eastAsia="Times New Roman" w:cstheme="minorHAnsi"/>
          <w:kern w:val="0"/>
          <w:sz w:val="24"/>
          <w:szCs w:val="24"/>
          <w:lang w:eastAsia="it-IT"/>
          <w14:ligatures w14:val="none"/>
        </w:rPr>
      </w:pPr>
      <w:r w:rsidRPr="001E14BE">
        <w:rPr>
          <w:rFonts w:cstheme="minorHAnsi"/>
          <w:sz w:val="24"/>
          <w:szCs w:val="24"/>
        </w:rPr>
        <w:t>Varianti del titolo: *</w:t>
      </w:r>
      <w:r w:rsidRPr="001E14BE">
        <w:rPr>
          <w:rFonts w:eastAsia="Times New Roman" w:cstheme="minorHAnsi"/>
          <w:kern w:val="0"/>
          <w:sz w:val="24"/>
          <w:szCs w:val="24"/>
          <w:lang w:eastAsia="it-IT"/>
          <w14:ligatures w14:val="none"/>
        </w:rPr>
        <w:t>Unificato. Catalogazione e quotazione dei biglietti gratta e vinci</w:t>
      </w:r>
      <w:r w:rsidRPr="001E14BE">
        <w:rPr>
          <w:rFonts w:eastAsia="Times New Roman" w:cstheme="minorHAnsi"/>
          <w:kern w:val="0"/>
          <w:sz w:val="24"/>
          <w:szCs w:val="24"/>
          <w:lang w:eastAsia="it-IT"/>
          <w14:ligatures w14:val="none"/>
        </w:rPr>
        <w:t>; *</w:t>
      </w:r>
      <w:r w:rsidRPr="008F12CF">
        <w:rPr>
          <w:rFonts w:eastAsia="Times New Roman" w:cstheme="minorHAnsi"/>
          <w:kern w:val="0"/>
          <w:sz w:val="24"/>
          <w:szCs w:val="24"/>
          <w:lang w:eastAsia="it-IT"/>
          <w14:ligatures w14:val="none"/>
        </w:rPr>
        <w:t>Biglietti gratta e vinci</w:t>
      </w:r>
    </w:p>
    <w:p w14:paraId="1FFF7BCE" w14:textId="2D84BE21" w:rsidR="0031062F" w:rsidRPr="001E14BE" w:rsidRDefault="008F12CF" w:rsidP="001E14BE">
      <w:pPr>
        <w:spacing w:after="0" w:line="240" w:lineRule="auto"/>
        <w:jc w:val="both"/>
        <w:rPr>
          <w:rFonts w:cstheme="minorHAnsi"/>
          <w:sz w:val="24"/>
          <w:szCs w:val="24"/>
        </w:rPr>
      </w:pPr>
      <w:bookmarkStart w:id="2" w:name="_Hlk161246952"/>
      <w:r w:rsidRPr="001E14BE">
        <w:rPr>
          <w:rFonts w:cstheme="minorHAnsi"/>
          <w:sz w:val="24"/>
          <w:szCs w:val="24"/>
        </w:rPr>
        <w:t>Soggetto: L</w:t>
      </w:r>
      <w:r w:rsidRPr="001E14BE">
        <w:rPr>
          <w:rFonts w:cstheme="minorHAnsi"/>
          <w:sz w:val="24"/>
          <w:szCs w:val="24"/>
        </w:rPr>
        <w:t xml:space="preserve">otterie </w:t>
      </w:r>
      <w:r w:rsidRPr="001E14BE">
        <w:rPr>
          <w:rFonts w:cstheme="minorHAnsi"/>
          <w:sz w:val="24"/>
          <w:szCs w:val="24"/>
        </w:rPr>
        <w:t>–</w:t>
      </w:r>
      <w:r w:rsidRPr="001E14BE">
        <w:rPr>
          <w:rFonts w:cstheme="minorHAnsi"/>
          <w:sz w:val="24"/>
          <w:szCs w:val="24"/>
        </w:rPr>
        <w:t xml:space="preserve"> </w:t>
      </w:r>
      <w:r w:rsidRPr="001E14BE">
        <w:rPr>
          <w:rFonts w:cstheme="minorHAnsi"/>
          <w:sz w:val="24"/>
          <w:szCs w:val="24"/>
        </w:rPr>
        <w:t>Biglietti – Collezionismo – P</w:t>
      </w:r>
      <w:r w:rsidRPr="001E14BE">
        <w:rPr>
          <w:rFonts w:cstheme="minorHAnsi"/>
          <w:sz w:val="24"/>
          <w:szCs w:val="24"/>
        </w:rPr>
        <w:t>eriodici</w:t>
      </w:r>
    </w:p>
    <w:p w14:paraId="57033833" w14:textId="77777777" w:rsidR="005D3AD6" w:rsidRPr="001E14BE" w:rsidRDefault="005D3AD6" w:rsidP="001E14BE">
      <w:pPr>
        <w:tabs>
          <w:tab w:val="right" w:pos="6300"/>
        </w:tabs>
        <w:spacing w:after="0" w:line="240" w:lineRule="auto"/>
        <w:jc w:val="both"/>
        <w:rPr>
          <w:rFonts w:cstheme="minorHAnsi"/>
        </w:rPr>
      </w:pPr>
      <w:r w:rsidRPr="001E14BE">
        <w:rPr>
          <w:rFonts w:cstheme="minorHAnsi"/>
          <w:sz w:val="24"/>
          <w:szCs w:val="24"/>
        </w:rPr>
        <w:t>Classe: D795.305</w:t>
      </w:r>
    </w:p>
    <w:p w14:paraId="4C1D05CC" w14:textId="77777777" w:rsidR="005D3AD6" w:rsidRPr="001E14BE" w:rsidRDefault="005D3AD6" w:rsidP="001E14BE">
      <w:pPr>
        <w:spacing w:after="0" w:line="240" w:lineRule="auto"/>
        <w:jc w:val="both"/>
        <w:rPr>
          <w:rFonts w:cstheme="minorHAnsi"/>
          <w:sz w:val="24"/>
          <w:szCs w:val="24"/>
        </w:rPr>
      </w:pPr>
    </w:p>
    <w:p w14:paraId="559E4DBF" w14:textId="0B7B2E35" w:rsidR="008F12CF" w:rsidRPr="001E14BE" w:rsidRDefault="008F12CF" w:rsidP="001E14BE">
      <w:pPr>
        <w:spacing w:after="0" w:line="240" w:lineRule="auto"/>
        <w:jc w:val="both"/>
        <w:rPr>
          <w:rFonts w:cstheme="minorHAnsi"/>
          <w:b/>
          <w:bCs/>
          <w:color w:val="C00000"/>
          <w:sz w:val="28"/>
          <w:szCs w:val="28"/>
        </w:rPr>
      </w:pPr>
      <w:bookmarkStart w:id="3" w:name="_Hlk161246934"/>
      <w:bookmarkEnd w:id="2"/>
      <w:r w:rsidRPr="001E14BE">
        <w:rPr>
          <w:rFonts w:cstheme="minorHAnsi"/>
          <w:b/>
          <w:bCs/>
          <w:color w:val="C00000"/>
          <w:sz w:val="28"/>
          <w:szCs w:val="28"/>
        </w:rPr>
        <w:t>Informazioni storico-bibliografiche</w:t>
      </w:r>
    </w:p>
    <w:bookmarkEnd w:id="3"/>
    <w:p w14:paraId="38211D83" w14:textId="77777777" w:rsidR="008F12CF" w:rsidRPr="001E14BE" w:rsidRDefault="008F12CF" w:rsidP="001E14BE">
      <w:pPr>
        <w:pStyle w:val="NormaleWeb"/>
        <w:spacing w:before="0" w:beforeAutospacing="0" w:after="0" w:afterAutospacing="0"/>
        <w:jc w:val="both"/>
        <w:rPr>
          <w:rFonts w:asciiTheme="minorHAnsi" w:hAnsiTheme="minorHAnsi" w:cstheme="minorHAnsi"/>
        </w:rPr>
      </w:pPr>
      <w:r w:rsidRPr="001E14BE">
        <w:rPr>
          <w:rFonts w:asciiTheme="minorHAnsi" w:hAnsiTheme="minorHAnsi" w:cstheme="minorHAnsi"/>
        </w:rPr>
        <w:t xml:space="preserve">Per la prima volta sono descritti, catalogati e quotati </w:t>
      </w:r>
      <w:r w:rsidRPr="001E14BE">
        <w:rPr>
          <w:rStyle w:val="Enfasigrassetto"/>
          <w:rFonts w:asciiTheme="minorHAnsi" w:eastAsiaTheme="majorEastAsia" w:hAnsiTheme="minorHAnsi" w:cstheme="minorHAnsi"/>
        </w:rPr>
        <w:t>oltre 2.000 biglietti della lotteria ISTANTANEA, meglio conosciuti come “GRATTA E VINCI”,</w:t>
      </w:r>
      <w:r w:rsidRPr="001E14BE">
        <w:rPr>
          <w:rFonts w:asciiTheme="minorHAnsi" w:hAnsiTheme="minorHAnsi" w:cstheme="minorHAnsi"/>
        </w:rPr>
        <w:t xml:space="preserve"> dal 1994 in </w:t>
      </w:r>
      <w:r w:rsidRPr="001E14BE">
        <w:rPr>
          <w:rStyle w:val="Enfasigrassetto"/>
          <w:rFonts w:asciiTheme="minorHAnsi" w:eastAsiaTheme="majorEastAsia" w:hAnsiTheme="minorHAnsi" w:cstheme="minorHAnsi"/>
        </w:rPr>
        <w:t xml:space="preserve">Lire, </w:t>
      </w:r>
      <w:r w:rsidRPr="001E14BE">
        <w:rPr>
          <w:rFonts w:asciiTheme="minorHAnsi" w:hAnsiTheme="minorHAnsi" w:cstheme="minorHAnsi"/>
        </w:rPr>
        <w:t>poi</w:t>
      </w:r>
      <w:r w:rsidRPr="001E14BE">
        <w:rPr>
          <w:rStyle w:val="Enfasigrassetto"/>
          <w:rFonts w:asciiTheme="minorHAnsi" w:eastAsiaTheme="majorEastAsia" w:hAnsiTheme="minorHAnsi" w:cstheme="minorHAnsi"/>
        </w:rPr>
        <w:t xml:space="preserve"> Lire-€uro </w:t>
      </w:r>
      <w:r w:rsidRPr="001E14BE">
        <w:rPr>
          <w:rFonts w:asciiTheme="minorHAnsi" w:hAnsiTheme="minorHAnsi" w:cstheme="minorHAnsi"/>
        </w:rPr>
        <w:t xml:space="preserve">e dal 2004 in </w:t>
      </w:r>
      <w:r w:rsidRPr="001E14BE">
        <w:rPr>
          <w:rStyle w:val="Enfasigrassetto"/>
          <w:rFonts w:asciiTheme="minorHAnsi" w:eastAsiaTheme="majorEastAsia" w:hAnsiTheme="minorHAnsi" w:cstheme="minorHAnsi"/>
        </w:rPr>
        <w:t xml:space="preserve">€uro </w:t>
      </w:r>
      <w:r w:rsidRPr="001E14BE">
        <w:rPr>
          <w:rFonts w:asciiTheme="minorHAnsi" w:hAnsiTheme="minorHAnsi" w:cstheme="minorHAnsi"/>
        </w:rPr>
        <w:t xml:space="preserve">fino ad oggi. Il volume è inoltre arricchito con i capitoli </w:t>
      </w:r>
      <w:r w:rsidRPr="001E14BE">
        <w:rPr>
          <w:rStyle w:val="Enfasigrassetto"/>
          <w:rFonts w:asciiTheme="minorHAnsi" w:eastAsiaTheme="majorEastAsia" w:hAnsiTheme="minorHAnsi" w:cstheme="minorHAnsi"/>
        </w:rPr>
        <w:t>Rarità e conservazione</w:t>
      </w:r>
      <w:r w:rsidRPr="001E14BE">
        <w:rPr>
          <w:rFonts w:asciiTheme="minorHAnsi" w:hAnsiTheme="minorHAnsi" w:cstheme="minorHAnsi"/>
        </w:rPr>
        <w:t xml:space="preserve">, </w:t>
      </w:r>
      <w:r w:rsidRPr="001E14BE">
        <w:rPr>
          <w:rStyle w:val="Enfasigrassetto"/>
          <w:rFonts w:asciiTheme="minorHAnsi" w:eastAsiaTheme="majorEastAsia" w:hAnsiTheme="minorHAnsi" w:cstheme="minorHAnsi"/>
        </w:rPr>
        <w:t>Biglietti verificabili con lettore ottico</w:t>
      </w:r>
      <w:r w:rsidRPr="001E14BE">
        <w:rPr>
          <w:rFonts w:asciiTheme="minorHAnsi" w:hAnsiTheme="minorHAnsi" w:cstheme="minorHAnsi"/>
        </w:rPr>
        <w:t xml:space="preserve">, </w:t>
      </w:r>
      <w:r w:rsidRPr="001E14BE">
        <w:rPr>
          <w:rStyle w:val="Enfasigrassetto"/>
          <w:rFonts w:asciiTheme="minorHAnsi" w:eastAsiaTheme="majorEastAsia" w:hAnsiTheme="minorHAnsi" w:cstheme="minorHAnsi"/>
        </w:rPr>
        <w:t>Note</w:t>
      </w:r>
      <w:r w:rsidRPr="001E14BE">
        <w:rPr>
          <w:rFonts w:asciiTheme="minorHAnsi" w:hAnsiTheme="minorHAnsi" w:cstheme="minorHAnsi"/>
        </w:rPr>
        <w:t xml:space="preserve"> </w:t>
      </w:r>
      <w:r w:rsidRPr="001E14BE">
        <w:rPr>
          <w:rStyle w:val="Enfasigrassetto"/>
          <w:rFonts w:asciiTheme="minorHAnsi" w:eastAsiaTheme="majorEastAsia" w:hAnsiTheme="minorHAnsi" w:cstheme="minorHAnsi"/>
        </w:rPr>
        <w:t>per i collezionisti</w:t>
      </w:r>
      <w:r w:rsidRPr="001E14BE">
        <w:rPr>
          <w:rFonts w:asciiTheme="minorHAnsi" w:hAnsiTheme="minorHAnsi" w:cstheme="minorHAnsi"/>
        </w:rPr>
        <w:t xml:space="preserve"> e le sezioni </w:t>
      </w:r>
      <w:r w:rsidRPr="001E14BE">
        <w:rPr>
          <w:rStyle w:val="Enfasigrassetto"/>
          <w:rFonts w:asciiTheme="minorHAnsi" w:eastAsiaTheme="majorEastAsia" w:hAnsiTheme="minorHAnsi" w:cstheme="minorHAnsi"/>
        </w:rPr>
        <w:t>Locandine (tot. 295), Biglietti prova, Errori di stampa</w:t>
      </w:r>
      <w:r w:rsidRPr="001E14BE">
        <w:rPr>
          <w:rFonts w:asciiTheme="minorHAnsi" w:hAnsiTheme="minorHAnsi" w:cstheme="minorHAnsi"/>
        </w:rPr>
        <w:t>,</w:t>
      </w:r>
      <w:r w:rsidRPr="001E14BE">
        <w:rPr>
          <w:rStyle w:val="Enfasigrassetto"/>
          <w:rFonts w:asciiTheme="minorHAnsi" w:eastAsiaTheme="majorEastAsia" w:hAnsiTheme="minorHAnsi" w:cstheme="minorHAnsi"/>
        </w:rPr>
        <w:t xml:space="preserve"> Curiosità </w:t>
      </w:r>
      <w:r w:rsidRPr="001E14BE">
        <w:rPr>
          <w:rFonts w:asciiTheme="minorHAnsi" w:hAnsiTheme="minorHAnsi" w:cstheme="minorHAnsi"/>
        </w:rPr>
        <w:t xml:space="preserve">e </w:t>
      </w:r>
      <w:r w:rsidRPr="001E14BE">
        <w:rPr>
          <w:rStyle w:val="Enfasigrassetto"/>
          <w:rFonts w:asciiTheme="minorHAnsi" w:eastAsiaTheme="majorEastAsia" w:hAnsiTheme="minorHAnsi" w:cstheme="minorHAnsi"/>
        </w:rPr>
        <w:t>Serie vincenti.</w:t>
      </w:r>
    </w:p>
    <w:p w14:paraId="30D5B9A0" w14:textId="77777777" w:rsidR="001E14BE" w:rsidRDefault="008F12CF" w:rsidP="001E14BE">
      <w:pPr>
        <w:pStyle w:val="NormaleWeb"/>
        <w:spacing w:before="0" w:beforeAutospacing="0" w:after="0" w:afterAutospacing="0"/>
        <w:jc w:val="both"/>
        <w:rPr>
          <w:rFonts w:asciiTheme="minorHAnsi" w:hAnsiTheme="minorHAnsi" w:cstheme="minorHAnsi"/>
        </w:rPr>
      </w:pPr>
      <w:r w:rsidRPr="001E14BE">
        <w:rPr>
          <w:rFonts w:asciiTheme="minorHAnsi" w:hAnsiTheme="minorHAnsi" w:cstheme="minorHAnsi"/>
        </w:rPr>
        <w:t>Ed. 2024,  formato: 17×24 cm, 480 pagine a colori.</w:t>
      </w:r>
    </w:p>
    <w:p w14:paraId="6975ED46" w14:textId="123EF9C2" w:rsidR="008F12CF" w:rsidRPr="001E14BE" w:rsidRDefault="008F12CF" w:rsidP="001E14BE">
      <w:pPr>
        <w:pStyle w:val="NormaleWeb"/>
        <w:spacing w:before="0" w:beforeAutospacing="0" w:after="0" w:afterAutospacing="0"/>
        <w:jc w:val="both"/>
        <w:rPr>
          <w:rFonts w:asciiTheme="minorHAnsi" w:hAnsiTheme="minorHAnsi" w:cstheme="minorHAnsi"/>
        </w:rPr>
      </w:pPr>
      <w:r w:rsidRPr="001E14BE">
        <w:rPr>
          <w:rStyle w:val="Enfasigrassetto"/>
          <w:rFonts w:asciiTheme="minorHAnsi" w:eastAsiaTheme="majorEastAsia" w:hAnsiTheme="minorHAnsi" w:cstheme="minorHAnsi"/>
        </w:rPr>
        <w:t>Prezzo di copertina: 40 €</w:t>
      </w:r>
    </w:p>
    <w:p w14:paraId="6C1C8998" w14:textId="77777777" w:rsidR="008F12CF" w:rsidRPr="001E14BE" w:rsidRDefault="008F12CF" w:rsidP="001E14BE">
      <w:pPr>
        <w:pStyle w:val="NormaleWeb"/>
        <w:spacing w:before="0" w:beforeAutospacing="0" w:after="0" w:afterAutospacing="0"/>
        <w:jc w:val="both"/>
        <w:rPr>
          <w:rFonts w:asciiTheme="minorHAnsi" w:hAnsiTheme="minorHAnsi" w:cstheme="minorHAnsi"/>
        </w:rPr>
      </w:pPr>
      <w:r w:rsidRPr="001E14BE">
        <w:rPr>
          <w:rStyle w:val="Enfasigrassetto"/>
          <w:rFonts w:asciiTheme="minorHAnsi" w:eastAsiaTheme="majorEastAsia" w:hAnsiTheme="minorHAnsi" w:cstheme="minorHAnsi"/>
          <w:color w:val="000080"/>
        </w:rPr>
        <w:t>Disponibile a fine novembre 2023.</w:t>
      </w:r>
    </w:p>
    <w:p w14:paraId="5781354C" w14:textId="4BF9DE58" w:rsidR="008F12CF" w:rsidRPr="001E14BE" w:rsidRDefault="008F12CF" w:rsidP="001E14BE">
      <w:pPr>
        <w:spacing w:after="0" w:line="240" w:lineRule="auto"/>
        <w:jc w:val="both"/>
        <w:rPr>
          <w:rFonts w:cstheme="minorHAnsi"/>
        </w:rPr>
      </w:pPr>
      <w:r w:rsidRPr="001E14BE">
        <w:rPr>
          <w:rFonts w:cstheme="minorHAnsi"/>
        </w:rPr>
        <w:t>In 480 pagine a colori sono repertoriati, descritti e quotati oltre 2.000 biglietti della lotteria istantanea, meglio conosciuti come “GRATTA E VINCI”, a partire dal 1994 prima in Lire (L. 1.000 – 2.000 – 2.500 – 5.000), poi in Lire – €uro (L. 2.000/€ 1,03) ed infine in €uro (€ 0,5 – 1 – 2 – 3 – 5 – 10 – 15 – 20 – 25). Questo catalogo è stato realizzato con l’obbiettivo di fornire ai collezionisti dei “Gratta e Vinci” e a chi si approccia a questo mondo una guida di facile e rapida consultazione, uno strumento utile ad organizzare e sviluppare la propria raccolta. La raccolta dei “Gratta e Vinci” è formata da biglietti numerati, quindi unici, si possono collezionare sia Nuovi che Grattati, ovviamente con valutazioni diverse, e, per la loro tipologia, si prestano a svariate forme di raccolta. Tutti biglietti sono in ordine cronologico per tipo con tabella identificativa di caratteristiche importanti come il grado di rarità ed il valore in base allo stato di conservazione. Il catalogo è diviso in due parti: biglietti in Lire – Euro emessi da “Monopoli di Stato” – tale scritta compare sul fronte di ogni biglietto, a partire dal 1994 con l’emissione “La Fontana della Fortuna” fino al 2003 con “Lo Zodiaco”, ultimo tipo di grattino con la scritta Monopoli di Stato biglietti in Euro, la cui emissione ha inizio nel 2004 a cura di Lottomatica, con il logo “Gratta e vinci” che compare sul fronte di ogni biglietto. Il volume è inoltre arricchito con i capitoli Rarità e conservazione, Biglietti verificabili con lettore ottico, Note per i collezionisti e le sezioni Locandine (tot. 295), Biglietti prova, Errori di stampa, Curiosità e Serie vincenti.</w:t>
      </w:r>
      <w:r w:rsidRPr="001E14BE">
        <w:rPr>
          <w:rFonts w:cstheme="minorHAnsi"/>
        </w:rPr>
        <w:t xml:space="preserve"> </w:t>
      </w:r>
      <w:hyperlink r:id="rId5" w:history="1">
        <w:r w:rsidRPr="001E14BE">
          <w:rPr>
            <w:rStyle w:val="Collegamentoipertestuale"/>
            <w:rFonts w:cstheme="minorHAnsi"/>
          </w:rPr>
          <w:t>https://www.unificato.it/gratta-e-vinci-ed-2024/</w:t>
        </w:r>
      </w:hyperlink>
      <w:r w:rsidRPr="001E14BE">
        <w:rPr>
          <w:rFonts w:cstheme="minorHAnsi"/>
        </w:rPr>
        <w:t xml:space="preserve"> </w:t>
      </w:r>
    </w:p>
    <w:sectPr w:rsidR="008F12CF" w:rsidRPr="001E14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7554"/>
    <w:rsid w:val="001E14BE"/>
    <w:rsid w:val="0031062F"/>
    <w:rsid w:val="003C7554"/>
    <w:rsid w:val="005D3AD6"/>
    <w:rsid w:val="008F12C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4F2B"/>
  <w15:chartTrackingRefBased/>
  <w15:docId w15:val="{5211842B-E622-4A44-AA91-2BD47671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C755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C755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C7554"/>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C7554"/>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C7554"/>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C755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755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755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755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7554"/>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C7554"/>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C7554"/>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C7554"/>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C7554"/>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C75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75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75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75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7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75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7554"/>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75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7554"/>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7554"/>
    <w:rPr>
      <w:i/>
      <w:iCs/>
      <w:color w:val="404040" w:themeColor="text1" w:themeTint="BF"/>
    </w:rPr>
  </w:style>
  <w:style w:type="paragraph" w:styleId="Paragrafoelenco">
    <w:name w:val="List Paragraph"/>
    <w:basedOn w:val="Normale"/>
    <w:uiPriority w:val="34"/>
    <w:qFormat/>
    <w:rsid w:val="003C7554"/>
    <w:pPr>
      <w:ind w:left="720"/>
      <w:contextualSpacing/>
    </w:pPr>
  </w:style>
  <w:style w:type="character" w:styleId="Enfasiintensa">
    <w:name w:val="Intense Emphasis"/>
    <w:basedOn w:val="Carpredefinitoparagrafo"/>
    <w:uiPriority w:val="21"/>
    <w:qFormat/>
    <w:rsid w:val="003C7554"/>
    <w:rPr>
      <w:i/>
      <w:iCs/>
      <w:color w:val="365F91" w:themeColor="accent1" w:themeShade="BF"/>
    </w:rPr>
  </w:style>
  <w:style w:type="paragraph" w:styleId="Citazioneintensa">
    <w:name w:val="Intense Quote"/>
    <w:basedOn w:val="Normale"/>
    <w:next w:val="Normale"/>
    <w:link w:val="CitazioneintensaCarattere"/>
    <w:uiPriority w:val="30"/>
    <w:qFormat/>
    <w:rsid w:val="003C75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C7554"/>
    <w:rPr>
      <w:i/>
      <w:iCs/>
      <w:color w:val="365F91" w:themeColor="accent1" w:themeShade="BF"/>
    </w:rPr>
  </w:style>
  <w:style w:type="character" w:styleId="Riferimentointenso">
    <w:name w:val="Intense Reference"/>
    <w:basedOn w:val="Carpredefinitoparagrafo"/>
    <w:uiPriority w:val="32"/>
    <w:qFormat/>
    <w:rsid w:val="003C7554"/>
    <w:rPr>
      <w:b/>
      <w:bCs/>
      <w:smallCaps/>
      <w:color w:val="365F91" w:themeColor="accent1" w:themeShade="BF"/>
      <w:spacing w:val="5"/>
    </w:rPr>
  </w:style>
  <w:style w:type="character" w:styleId="Collegamentoipertestuale">
    <w:name w:val="Hyperlink"/>
    <w:basedOn w:val="Carpredefinitoparagrafo"/>
    <w:uiPriority w:val="99"/>
    <w:unhideWhenUsed/>
    <w:rsid w:val="008F12CF"/>
    <w:rPr>
      <w:color w:val="0000FF"/>
      <w:u w:val="single"/>
    </w:rPr>
  </w:style>
  <w:style w:type="character" w:styleId="Menzionenonrisolta">
    <w:name w:val="Unresolved Mention"/>
    <w:basedOn w:val="Carpredefinitoparagrafo"/>
    <w:uiPriority w:val="99"/>
    <w:semiHidden/>
    <w:unhideWhenUsed/>
    <w:rsid w:val="008F12CF"/>
    <w:rPr>
      <w:color w:val="605E5C"/>
      <w:shd w:val="clear" w:color="auto" w:fill="E1DFDD"/>
    </w:rPr>
  </w:style>
  <w:style w:type="paragraph" w:styleId="NormaleWeb">
    <w:name w:val="Normal (Web)"/>
    <w:basedOn w:val="Normale"/>
    <w:uiPriority w:val="99"/>
    <w:semiHidden/>
    <w:unhideWhenUsed/>
    <w:rsid w:val="008F12C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F12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07553">
      <w:bodyDiv w:val="1"/>
      <w:marLeft w:val="0"/>
      <w:marRight w:val="0"/>
      <w:marTop w:val="0"/>
      <w:marBottom w:val="0"/>
      <w:divBdr>
        <w:top w:val="none" w:sz="0" w:space="0" w:color="auto"/>
        <w:left w:val="none" w:sz="0" w:space="0" w:color="auto"/>
        <w:bottom w:val="none" w:sz="0" w:space="0" w:color="auto"/>
        <w:right w:val="none" w:sz="0" w:space="0" w:color="auto"/>
      </w:divBdr>
      <w:divsChild>
        <w:div w:id="1036586979">
          <w:marLeft w:val="0"/>
          <w:marRight w:val="0"/>
          <w:marTop w:val="0"/>
          <w:marBottom w:val="0"/>
          <w:divBdr>
            <w:top w:val="none" w:sz="0" w:space="0" w:color="auto"/>
            <w:left w:val="none" w:sz="0" w:space="0" w:color="auto"/>
            <w:bottom w:val="none" w:sz="0" w:space="0" w:color="auto"/>
            <w:right w:val="none" w:sz="0" w:space="0" w:color="auto"/>
          </w:divBdr>
          <w:divsChild>
            <w:div w:id="532813238">
              <w:marLeft w:val="0"/>
              <w:marRight w:val="0"/>
              <w:marTop w:val="0"/>
              <w:marBottom w:val="0"/>
              <w:divBdr>
                <w:top w:val="none" w:sz="0" w:space="0" w:color="auto"/>
                <w:left w:val="none" w:sz="0" w:space="0" w:color="auto"/>
                <w:bottom w:val="none" w:sz="0" w:space="0" w:color="auto"/>
                <w:right w:val="none" w:sz="0" w:space="0" w:color="auto"/>
              </w:divBdr>
            </w:div>
            <w:div w:id="20202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88">
      <w:bodyDiv w:val="1"/>
      <w:marLeft w:val="0"/>
      <w:marRight w:val="0"/>
      <w:marTop w:val="0"/>
      <w:marBottom w:val="0"/>
      <w:divBdr>
        <w:top w:val="none" w:sz="0" w:space="0" w:color="auto"/>
        <w:left w:val="none" w:sz="0" w:space="0" w:color="auto"/>
        <w:bottom w:val="none" w:sz="0" w:space="0" w:color="auto"/>
        <w:right w:val="none" w:sz="0" w:space="0" w:color="auto"/>
      </w:divBdr>
      <w:divsChild>
        <w:div w:id="1211305034">
          <w:marLeft w:val="0"/>
          <w:marRight w:val="0"/>
          <w:marTop w:val="0"/>
          <w:marBottom w:val="0"/>
          <w:divBdr>
            <w:top w:val="none" w:sz="0" w:space="0" w:color="auto"/>
            <w:left w:val="none" w:sz="0" w:space="0" w:color="auto"/>
            <w:bottom w:val="none" w:sz="0" w:space="0" w:color="auto"/>
            <w:right w:val="none" w:sz="0" w:space="0" w:color="auto"/>
          </w:divBdr>
        </w:div>
      </w:divsChild>
    </w:div>
    <w:div w:id="1161044680">
      <w:bodyDiv w:val="1"/>
      <w:marLeft w:val="0"/>
      <w:marRight w:val="0"/>
      <w:marTop w:val="0"/>
      <w:marBottom w:val="0"/>
      <w:divBdr>
        <w:top w:val="none" w:sz="0" w:space="0" w:color="auto"/>
        <w:left w:val="none" w:sz="0" w:space="0" w:color="auto"/>
        <w:bottom w:val="none" w:sz="0" w:space="0" w:color="auto"/>
        <w:right w:val="none" w:sz="0" w:space="0" w:color="auto"/>
      </w:divBdr>
      <w:divsChild>
        <w:div w:id="155927505">
          <w:marLeft w:val="0"/>
          <w:marRight w:val="0"/>
          <w:marTop w:val="0"/>
          <w:marBottom w:val="0"/>
          <w:divBdr>
            <w:top w:val="none" w:sz="0" w:space="0" w:color="auto"/>
            <w:left w:val="none" w:sz="0" w:space="0" w:color="auto"/>
            <w:bottom w:val="none" w:sz="0" w:space="0" w:color="auto"/>
            <w:right w:val="none" w:sz="0" w:space="0" w:color="auto"/>
          </w:divBdr>
          <w:divsChild>
            <w:div w:id="4253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ficato.it/gratta-e-vinci-ed-2024/"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2406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2024-03-13T17:16:00Z</dcterms:created>
  <dcterms:modified xsi:type="dcterms:W3CDTF">2024-03-13T18:19:00Z</dcterms:modified>
</cp:coreProperties>
</file>