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5A27" w14:textId="77777777" w:rsidR="00E54A72" w:rsidRDefault="00E54A72" w:rsidP="00BB2AD1">
      <w:pPr>
        <w:spacing w:after="0" w:line="240" w:lineRule="auto"/>
        <w:jc w:val="both"/>
        <w:rPr>
          <w:rFonts w:cstheme="minorHAnsi"/>
          <w:bCs/>
          <w:i/>
          <w:sz w:val="16"/>
          <w:szCs w:val="16"/>
        </w:rPr>
      </w:pPr>
      <w:r>
        <w:rPr>
          <w:rFonts w:cstheme="minorHAnsi"/>
          <w:b/>
          <w:bCs/>
          <w:color w:val="C00000"/>
          <w:sz w:val="44"/>
          <w:szCs w:val="44"/>
        </w:rPr>
        <w:t>XY628</w:t>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t>Scheda creata il 2</w:t>
      </w:r>
      <w:r>
        <w:rPr>
          <w:rFonts w:cstheme="minorHAnsi"/>
          <w:bCs/>
          <w:i/>
          <w:sz w:val="16"/>
          <w:szCs w:val="16"/>
        </w:rPr>
        <w:t>7</w:t>
      </w:r>
      <w:r w:rsidRPr="00E508E3">
        <w:rPr>
          <w:rFonts w:cstheme="minorHAnsi"/>
          <w:bCs/>
          <w:i/>
          <w:sz w:val="16"/>
          <w:szCs w:val="16"/>
        </w:rPr>
        <w:t xml:space="preserve"> febbraio 2024</w:t>
      </w:r>
    </w:p>
    <w:p w14:paraId="0D3ABA11" w14:textId="1B73AF33" w:rsidR="00E54A72" w:rsidRPr="00BB2AD1" w:rsidRDefault="00BB2AD1" w:rsidP="00BB2AD1">
      <w:pPr>
        <w:spacing w:after="0" w:line="240" w:lineRule="auto"/>
        <w:jc w:val="center"/>
        <w:rPr>
          <w:lang w:val="en-GB"/>
        </w:rPr>
      </w:pPr>
      <w:r w:rsidRPr="00BB2AD1">
        <w:drawing>
          <wp:inline distT="0" distB="0" distL="0" distR="0" wp14:anchorId="38E2B422" wp14:editId="7A4ECB7D">
            <wp:extent cx="1393200" cy="1800000"/>
            <wp:effectExtent l="0" t="0" r="0" b="0"/>
            <wp:docPr id="78663220" name="Immagine 1" descr="Immagine che contiene testo, grafic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3220" name="Immagine 1" descr="Immagine che contiene testo, grafica, Elementi grafici, Carattere&#10;&#10;Descrizione generata automaticamente"/>
                    <pic:cNvPicPr/>
                  </pic:nvPicPr>
                  <pic:blipFill>
                    <a:blip r:embed="rId5"/>
                    <a:stretch>
                      <a:fillRect/>
                    </a:stretch>
                  </pic:blipFill>
                  <pic:spPr>
                    <a:xfrm>
                      <a:off x="0" y="0"/>
                      <a:ext cx="1393200" cy="1800000"/>
                    </a:xfrm>
                    <a:prstGeom prst="rect">
                      <a:avLst/>
                    </a:prstGeom>
                  </pic:spPr>
                </pic:pic>
              </a:graphicData>
            </a:graphic>
          </wp:inline>
        </w:drawing>
      </w:r>
      <w:r w:rsidRPr="00BB2AD1">
        <w:drawing>
          <wp:inline distT="0" distB="0" distL="0" distR="0" wp14:anchorId="30662108" wp14:editId="3BE17DFC">
            <wp:extent cx="1386000" cy="1800000"/>
            <wp:effectExtent l="0" t="0" r="5080" b="0"/>
            <wp:docPr id="284588846"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88846" name="Immagine 1" descr="Immagine che contiene testo, schermata, Carattere, design&#10;&#10;Descrizione generata automaticamente"/>
                    <pic:cNvPicPr/>
                  </pic:nvPicPr>
                  <pic:blipFill>
                    <a:blip r:embed="rId6"/>
                    <a:stretch>
                      <a:fillRect/>
                    </a:stretch>
                  </pic:blipFill>
                  <pic:spPr>
                    <a:xfrm>
                      <a:off x="0" y="0"/>
                      <a:ext cx="1386000" cy="1800000"/>
                    </a:xfrm>
                    <a:prstGeom prst="rect">
                      <a:avLst/>
                    </a:prstGeom>
                  </pic:spPr>
                </pic:pic>
              </a:graphicData>
            </a:graphic>
          </wp:inline>
        </w:drawing>
      </w:r>
      <w:r w:rsidR="00E54A72">
        <w:rPr>
          <w:noProof/>
        </w:rPr>
        <w:drawing>
          <wp:inline distT="0" distB="0" distL="0" distR="0" wp14:anchorId="4264D606" wp14:editId="77AA7153">
            <wp:extent cx="1393200" cy="1800000"/>
            <wp:effectExtent l="0" t="0" r="0" b="0"/>
            <wp:docPr id="1956588571" name="Immagine 1" descr="2021 Global Review of Constitution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Global Review of Constitutional L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200" cy="1800000"/>
                    </a:xfrm>
                    <a:prstGeom prst="rect">
                      <a:avLst/>
                    </a:prstGeom>
                    <a:noFill/>
                    <a:ln>
                      <a:noFill/>
                    </a:ln>
                  </pic:spPr>
                </pic:pic>
              </a:graphicData>
            </a:graphic>
          </wp:inline>
        </w:drawing>
      </w:r>
      <w:r w:rsidR="00E54A72" w:rsidRPr="00E54A72">
        <w:rPr>
          <w:noProof/>
        </w:rPr>
        <w:drawing>
          <wp:inline distT="0" distB="0" distL="0" distR="0" wp14:anchorId="32F7D0AE" wp14:editId="47BB5F96">
            <wp:extent cx="1393200" cy="1800000"/>
            <wp:effectExtent l="0" t="0" r="0" b="0"/>
            <wp:docPr id="2042773951" name="Immagine 1" descr="Immagine che contiene testo,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73951" name="Immagine 1" descr="Immagine che contiene testo, grafica, Carattere, schermata&#10;&#10;Descrizione generata automaticamente"/>
                    <pic:cNvPicPr/>
                  </pic:nvPicPr>
                  <pic:blipFill>
                    <a:blip r:embed="rId8"/>
                    <a:stretch>
                      <a:fillRect/>
                    </a:stretch>
                  </pic:blipFill>
                  <pic:spPr>
                    <a:xfrm>
                      <a:off x="0" y="0"/>
                      <a:ext cx="1393200" cy="1800000"/>
                    </a:xfrm>
                    <a:prstGeom prst="rect">
                      <a:avLst/>
                    </a:prstGeom>
                  </pic:spPr>
                </pic:pic>
              </a:graphicData>
            </a:graphic>
          </wp:inline>
        </w:drawing>
      </w:r>
    </w:p>
    <w:p w14:paraId="4D50E72B" w14:textId="69513DB9" w:rsidR="00E54A72" w:rsidRPr="00BB2AD1" w:rsidRDefault="00E54A72" w:rsidP="00BB2AD1">
      <w:pPr>
        <w:spacing w:after="0" w:line="240" w:lineRule="auto"/>
        <w:jc w:val="both"/>
        <w:rPr>
          <w:rFonts w:cstheme="minorHAnsi"/>
          <w:sz w:val="40"/>
          <w:szCs w:val="40"/>
          <w:lang w:val="en-GB"/>
        </w:rPr>
      </w:pPr>
      <w:bookmarkStart w:id="0" w:name="_Hlk159441181"/>
      <w:proofErr w:type="spellStart"/>
      <w:r w:rsidRPr="00BB2AD1">
        <w:rPr>
          <w:rFonts w:cstheme="minorHAnsi"/>
          <w:b/>
          <w:bCs/>
          <w:color w:val="C00000"/>
          <w:sz w:val="40"/>
          <w:szCs w:val="40"/>
          <w:lang w:val="en-GB"/>
        </w:rPr>
        <w:t>Descrizione</w:t>
      </w:r>
      <w:proofErr w:type="spellEnd"/>
      <w:r w:rsidRPr="00BB2AD1">
        <w:rPr>
          <w:rFonts w:cstheme="minorHAnsi"/>
          <w:b/>
          <w:bCs/>
          <w:color w:val="C00000"/>
          <w:sz w:val="40"/>
          <w:szCs w:val="40"/>
          <w:lang w:val="en-GB"/>
        </w:rPr>
        <w:t xml:space="preserve"> </w:t>
      </w:r>
      <w:proofErr w:type="spellStart"/>
      <w:r w:rsidR="00BB2AD1" w:rsidRPr="00BB2AD1">
        <w:rPr>
          <w:rFonts w:cstheme="minorHAnsi"/>
          <w:b/>
          <w:bCs/>
          <w:color w:val="C00000"/>
          <w:sz w:val="40"/>
          <w:szCs w:val="40"/>
          <w:lang w:val="en-GB"/>
        </w:rPr>
        <w:t>storico-</w:t>
      </w:r>
      <w:r w:rsidRPr="00BB2AD1">
        <w:rPr>
          <w:rFonts w:cstheme="minorHAnsi"/>
          <w:b/>
          <w:bCs/>
          <w:color w:val="C00000"/>
          <w:sz w:val="40"/>
          <w:szCs w:val="40"/>
          <w:lang w:val="en-GB"/>
        </w:rPr>
        <w:t>bibliografica</w:t>
      </w:r>
      <w:proofErr w:type="spellEnd"/>
      <w:r w:rsidRPr="00BB2AD1">
        <w:rPr>
          <w:rFonts w:cstheme="minorHAnsi"/>
          <w:sz w:val="40"/>
          <w:szCs w:val="40"/>
          <w:lang w:val="en-GB"/>
        </w:rPr>
        <w:t xml:space="preserve"> </w:t>
      </w:r>
    </w:p>
    <w:bookmarkEnd w:id="0"/>
    <w:p w14:paraId="60272F08" w14:textId="676701FA" w:rsidR="00BB2AD1" w:rsidRPr="00BB2AD1" w:rsidRDefault="00BB2AD1" w:rsidP="00BB2AD1">
      <w:pPr>
        <w:spacing w:after="0" w:line="240" w:lineRule="auto"/>
        <w:jc w:val="both"/>
        <w:outlineLvl w:val="0"/>
        <w:rPr>
          <w:rFonts w:eastAsia="Times New Roman" w:cstheme="minorHAnsi"/>
          <w:kern w:val="36"/>
          <w:sz w:val="24"/>
          <w:szCs w:val="24"/>
          <w:lang w:eastAsia="it-IT"/>
          <w14:ligatures w14:val="none"/>
        </w:rPr>
      </w:pPr>
      <w:r>
        <w:rPr>
          <w:rFonts w:eastAsia="Times New Roman" w:cstheme="minorHAnsi"/>
          <w:kern w:val="36"/>
          <w:sz w:val="24"/>
          <w:szCs w:val="24"/>
          <w:lang w:val="en-GB" w:eastAsia="it-IT"/>
          <w14:ligatures w14:val="none"/>
        </w:rPr>
        <w:t>*</w:t>
      </w:r>
      <w:r w:rsidRPr="00BB2AD1">
        <w:rPr>
          <w:rFonts w:eastAsia="Times New Roman" w:cstheme="minorHAnsi"/>
          <w:b/>
          <w:bCs/>
          <w:kern w:val="36"/>
          <w:sz w:val="24"/>
          <w:szCs w:val="24"/>
          <w:lang w:val="en-GB" w:eastAsia="it-IT"/>
          <w14:ligatures w14:val="none"/>
        </w:rPr>
        <w:t xml:space="preserve">Global </w:t>
      </w:r>
      <w:r>
        <w:rPr>
          <w:rFonts w:eastAsia="Times New Roman" w:cstheme="minorHAnsi"/>
          <w:b/>
          <w:bCs/>
          <w:kern w:val="36"/>
          <w:sz w:val="24"/>
          <w:szCs w:val="24"/>
          <w:lang w:val="en-GB" w:eastAsia="it-IT"/>
          <w14:ligatures w14:val="none"/>
        </w:rPr>
        <w:t>r</w:t>
      </w:r>
      <w:r w:rsidRPr="00BB2AD1">
        <w:rPr>
          <w:rFonts w:eastAsia="Times New Roman" w:cstheme="minorHAnsi"/>
          <w:b/>
          <w:bCs/>
          <w:kern w:val="36"/>
          <w:sz w:val="24"/>
          <w:szCs w:val="24"/>
          <w:lang w:val="en-GB" w:eastAsia="it-IT"/>
          <w14:ligatures w14:val="none"/>
        </w:rPr>
        <w:t xml:space="preserve">eview of </w:t>
      </w:r>
      <w:r>
        <w:rPr>
          <w:rFonts w:eastAsia="Times New Roman" w:cstheme="minorHAnsi"/>
          <w:b/>
          <w:bCs/>
          <w:kern w:val="36"/>
          <w:sz w:val="24"/>
          <w:szCs w:val="24"/>
          <w:lang w:val="en-GB" w:eastAsia="it-IT"/>
          <w14:ligatures w14:val="none"/>
        </w:rPr>
        <w:t>c</w:t>
      </w:r>
      <w:r w:rsidRPr="00BB2AD1">
        <w:rPr>
          <w:rFonts w:eastAsia="Times New Roman" w:cstheme="minorHAnsi"/>
          <w:b/>
          <w:bCs/>
          <w:kern w:val="36"/>
          <w:sz w:val="24"/>
          <w:szCs w:val="24"/>
          <w:lang w:val="en-GB" w:eastAsia="it-IT"/>
          <w14:ligatures w14:val="none"/>
        </w:rPr>
        <w:t>onstitutional Law</w:t>
      </w:r>
      <w:r w:rsidRPr="00BB2AD1">
        <w:rPr>
          <w:rFonts w:eastAsia="Times New Roman" w:cstheme="minorHAnsi"/>
          <w:kern w:val="36"/>
          <w:sz w:val="24"/>
          <w:szCs w:val="24"/>
          <w:lang w:val="en-GB" w:eastAsia="it-IT"/>
          <w14:ligatures w14:val="none"/>
        </w:rPr>
        <w:t xml:space="preserve"> </w:t>
      </w:r>
      <w:r>
        <w:rPr>
          <w:rFonts w:eastAsia="Times New Roman" w:cstheme="minorHAnsi"/>
          <w:kern w:val="36"/>
          <w:sz w:val="24"/>
          <w:szCs w:val="24"/>
          <w:lang w:val="en-GB" w:eastAsia="it-IT"/>
          <w14:ligatures w14:val="none"/>
        </w:rPr>
        <w:t xml:space="preserve">/ </w:t>
      </w:r>
      <w:r w:rsidRPr="00BB2AD1">
        <w:rPr>
          <w:rFonts w:eastAsia="Times New Roman" w:cstheme="minorHAnsi"/>
          <w:kern w:val="36"/>
          <w:sz w:val="24"/>
          <w:szCs w:val="24"/>
          <w:lang w:val="en-GB" w:eastAsia="it-IT"/>
          <w14:ligatures w14:val="none"/>
        </w:rPr>
        <w:t xml:space="preserve">Edited by Richard Albert, Šimon </w:t>
      </w:r>
      <w:proofErr w:type="spellStart"/>
      <w:r w:rsidRPr="00BB2AD1">
        <w:rPr>
          <w:rFonts w:eastAsia="Times New Roman" w:cstheme="minorHAnsi"/>
          <w:kern w:val="36"/>
          <w:sz w:val="24"/>
          <w:szCs w:val="24"/>
          <w:lang w:val="en-GB" w:eastAsia="it-IT"/>
          <w14:ligatures w14:val="none"/>
        </w:rPr>
        <w:t>Drugda</w:t>
      </w:r>
      <w:proofErr w:type="spellEnd"/>
      <w:r w:rsidRPr="00BB2AD1">
        <w:rPr>
          <w:rFonts w:eastAsia="Times New Roman" w:cstheme="minorHAnsi"/>
          <w:kern w:val="36"/>
          <w:sz w:val="24"/>
          <w:szCs w:val="24"/>
          <w:lang w:val="en-GB" w:eastAsia="it-IT"/>
          <w14:ligatures w14:val="none"/>
        </w:rPr>
        <w:t>, Pietro Faraguna and David Landau</w:t>
      </w:r>
      <w:r>
        <w:rPr>
          <w:rFonts w:eastAsia="Times New Roman" w:cstheme="minorHAnsi"/>
          <w:kern w:val="36"/>
          <w:sz w:val="24"/>
          <w:szCs w:val="24"/>
          <w:lang w:val="en-GB" w:eastAsia="it-IT"/>
          <w14:ligatures w14:val="none"/>
        </w:rPr>
        <w:t xml:space="preserve">. – 2016-2020. </w:t>
      </w:r>
      <w:proofErr w:type="gramStart"/>
      <w:r>
        <w:rPr>
          <w:rFonts w:eastAsia="Times New Roman" w:cstheme="minorHAnsi"/>
          <w:kern w:val="36"/>
          <w:sz w:val="24"/>
          <w:szCs w:val="24"/>
          <w:lang w:val="en-GB" w:eastAsia="it-IT"/>
          <w14:ligatures w14:val="none"/>
        </w:rPr>
        <w:t>-  [</w:t>
      </w:r>
      <w:proofErr w:type="gramEnd"/>
      <w:r>
        <w:rPr>
          <w:rFonts w:eastAsia="Times New Roman" w:cstheme="minorHAnsi"/>
          <w:kern w:val="36"/>
          <w:sz w:val="24"/>
          <w:szCs w:val="24"/>
          <w:lang w:val="en-GB" w:eastAsia="it-IT"/>
          <w14:ligatures w14:val="none"/>
        </w:rPr>
        <w:t xml:space="preserve">Boston?] : </w:t>
      </w:r>
      <w:r w:rsidRPr="00BB2AD1">
        <w:rPr>
          <w:rFonts w:eastAsia="Times New Roman" w:cstheme="minorHAnsi"/>
          <w:kern w:val="36"/>
          <w:sz w:val="24"/>
          <w:szCs w:val="24"/>
          <w:lang w:val="en-GB" w:eastAsia="it-IT"/>
          <w14:ligatures w14:val="none"/>
        </w:rPr>
        <w:t>I</w:t>
      </w:r>
      <w:r>
        <w:rPr>
          <w:rFonts w:eastAsia="Times New Roman" w:cstheme="minorHAnsi"/>
          <w:kern w:val="36"/>
          <w:sz w:val="24"/>
          <w:szCs w:val="24"/>
          <w:lang w:val="en-GB" w:eastAsia="it-IT"/>
          <w14:ligatures w14:val="none"/>
        </w:rPr>
        <w:t xml:space="preserve"> </w:t>
      </w:r>
      <w:proofErr w:type="spellStart"/>
      <w:r w:rsidRPr="00BB2AD1">
        <w:rPr>
          <w:rFonts w:eastAsia="Times New Roman" w:cstheme="minorHAnsi"/>
          <w:kern w:val="36"/>
          <w:sz w:val="24"/>
          <w:szCs w:val="24"/>
          <w:lang w:val="en-GB" w:eastAsia="it-IT"/>
          <w14:ligatures w14:val="none"/>
        </w:rPr>
        <w:t>CONnect</w:t>
      </w:r>
      <w:proofErr w:type="spellEnd"/>
      <w:r w:rsidRPr="00BB2AD1">
        <w:rPr>
          <w:rFonts w:eastAsia="Times New Roman" w:cstheme="minorHAnsi"/>
          <w:kern w:val="36"/>
          <w:sz w:val="24"/>
          <w:szCs w:val="24"/>
          <w:lang w:val="en-GB" w:eastAsia="it-IT"/>
          <w14:ligatures w14:val="none"/>
        </w:rPr>
        <w:t xml:space="preserve"> and the Clough </w:t>
      </w:r>
      <w:proofErr w:type="spellStart"/>
      <w:r>
        <w:rPr>
          <w:rFonts w:eastAsia="Times New Roman" w:cstheme="minorHAnsi"/>
          <w:kern w:val="36"/>
          <w:sz w:val="24"/>
          <w:szCs w:val="24"/>
          <w:lang w:val="en-GB" w:eastAsia="it-IT"/>
          <w14:ligatures w14:val="none"/>
        </w:rPr>
        <w:t>c</w:t>
      </w:r>
      <w:r w:rsidRPr="00BB2AD1">
        <w:rPr>
          <w:rFonts w:eastAsia="Times New Roman" w:cstheme="minorHAnsi"/>
          <w:kern w:val="36"/>
          <w:sz w:val="24"/>
          <w:szCs w:val="24"/>
          <w:lang w:val="en-GB" w:eastAsia="it-IT"/>
          <w14:ligatures w14:val="none"/>
        </w:rPr>
        <w:t>enter</w:t>
      </w:r>
      <w:proofErr w:type="spellEnd"/>
      <w:r w:rsidRPr="00BB2AD1">
        <w:rPr>
          <w:rFonts w:eastAsia="Times New Roman" w:cstheme="minorHAnsi"/>
          <w:kern w:val="36"/>
          <w:sz w:val="24"/>
          <w:szCs w:val="24"/>
          <w:lang w:val="en-GB" w:eastAsia="it-IT"/>
          <w14:ligatures w14:val="none"/>
        </w:rPr>
        <w:t xml:space="preserve"> for the </w:t>
      </w:r>
      <w:r>
        <w:rPr>
          <w:rFonts w:eastAsia="Times New Roman" w:cstheme="minorHAnsi"/>
          <w:kern w:val="36"/>
          <w:sz w:val="24"/>
          <w:szCs w:val="24"/>
          <w:lang w:val="en-GB" w:eastAsia="it-IT"/>
          <w14:ligatures w14:val="none"/>
        </w:rPr>
        <w:t>s</w:t>
      </w:r>
      <w:r w:rsidRPr="00BB2AD1">
        <w:rPr>
          <w:rFonts w:eastAsia="Times New Roman" w:cstheme="minorHAnsi"/>
          <w:kern w:val="36"/>
          <w:sz w:val="24"/>
          <w:szCs w:val="24"/>
          <w:lang w:val="en-GB" w:eastAsia="it-IT"/>
          <w14:ligatures w14:val="none"/>
        </w:rPr>
        <w:t xml:space="preserve">tudy of </w:t>
      </w:r>
      <w:r>
        <w:rPr>
          <w:rFonts w:eastAsia="Times New Roman" w:cstheme="minorHAnsi"/>
          <w:kern w:val="36"/>
          <w:sz w:val="24"/>
          <w:szCs w:val="24"/>
          <w:lang w:val="en-GB" w:eastAsia="it-IT"/>
          <w14:ligatures w14:val="none"/>
        </w:rPr>
        <w:t>c</w:t>
      </w:r>
      <w:r w:rsidRPr="00BB2AD1">
        <w:rPr>
          <w:rFonts w:eastAsia="Times New Roman" w:cstheme="minorHAnsi"/>
          <w:kern w:val="36"/>
          <w:sz w:val="24"/>
          <w:szCs w:val="24"/>
          <w:lang w:val="en-GB" w:eastAsia="it-IT"/>
          <w14:ligatures w14:val="none"/>
        </w:rPr>
        <w:t xml:space="preserve">onstitutional </w:t>
      </w:r>
      <w:r>
        <w:rPr>
          <w:rFonts w:eastAsia="Times New Roman" w:cstheme="minorHAnsi"/>
          <w:kern w:val="36"/>
          <w:sz w:val="24"/>
          <w:szCs w:val="24"/>
          <w:lang w:val="en-GB" w:eastAsia="it-IT"/>
          <w14:ligatures w14:val="none"/>
        </w:rPr>
        <w:t>d</w:t>
      </w:r>
      <w:r w:rsidRPr="00BB2AD1">
        <w:rPr>
          <w:rFonts w:eastAsia="Times New Roman" w:cstheme="minorHAnsi"/>
          <w:kern w:val="36"/>
          <w:sz w:val="24"/>
          <w:szCs w:val="24"/>
          <w:lang w:val="en-GB" w:eastAsia="it-IT"/>
          <w14:ligatures w14:val="none"/>
        </w:rPr>
        <w:t>emocracy at Boston College</w:t>
      </w:r>
      <w:r>
        <w:rPr>
          <w:rFonts w:eastAsia="Times New Roman" w:cstheme="minorHAnsi"/>
          <w:kern w:val="36"/>
          <w:sz w:val="24"/>
          <w:szCs w:val="24"/>
          <w:lang w:val="en-GB" w:eastAsia="it-IT"/>
          <w14:ligatures w14:val="none"/>
        </w:rPr>
        <w:t xml:space="preserve">, 2017-2021. – </w:t>
      </w:r>
      <w:proofErr w:type="spellStart"/>
      <w:r>
        <w:rPr>
          <w:rFonts w:eastAsia="Times New Roman" w:cstheme="minorHAnsi"/>
          <w:kern w:val="36"/>
          <w:sz w:val="24"/>
          <w:szCs w:val="24"/>
          <w:lang w:val="en-GB" w:eastAsia="it-IT"/>
          <w14:ligatures w14:val="none"/>
        </w:rPr>
        <w:t>testi</w:t>
      </w:r>
      <w:proofErr w:type="spellEnd"/>
      <w:r>
        <w:rPr>
          <w:rFonts w:eastAsia="Times New Roman" w:cstheme="minorHAnsi"/>
          <w:kern w:val="36"/>
          <w:sz w:val="24"/>
          <w:szCs w:val="24"/>
          <w:lang w:val="en-GB" w:eastAsia="it-IT"/>
          <w14:ligatures w14:val="none"/>
        </w:rPr>
        <w:t xml:space="preserve"> </w:t>
      </w:r>
      <w:proofErr w:type="spellStart"/>
      <w:r>
        <w:rPr>
          <w:rFonts w:eastAsia="Times New Roman" w:cstheme="minorHAnsi"/>
          <w:kern w:val="36"/>
          <w:sz w:val="24"/>
          <w:szCs w:val="24"/>
          <w:lang w:val="en-GB" w:eastAsia="it-IT"/>
          <w14:ligatures w14:val="none"/>
        </w:rPr>
        <w:t>elettronici</w:t>
      </w:r>
      <w:proofErr w:type="spellEnd"/>
      <w:r>
        <w:rPr>
          <w:rFonts w:eastAsia="Times New Roman" w:cstheme="minorHAnsi"/>
          <w:kern w:val="36"/>
          <w:sz w:val="24"/>
          <w:szCs w:val="24"/>
          <w:lang w:val="en-GB" w:eastAsia="it-IT"/>
          <w14:ligatures w14:val="none"/>
        </w:rPr>
        <w:t xml:space="preserve"> (5 file PDF). </w:t>
      </w:r>
      <w:r w:rsidRPr="00BB2AD1">
        <w:rPr>
          <w:rFonts w:eastAsia="Times New Roman" w:cstheme="minorHAnsi"/>
          <w:kern w:val="36"/>
          <w:sz w:val="24"/>
          <w:szCs w:val="24"/>
          <w:lang w:eastAsia="it-IT"/>
          <w14:ligatures w14:val="none"/>
        </w:rPr>
        <w:t xml:space="preserve">((Annuale. – Pubblicazione elettronica. - Prima del titolo: </w:t>
      </w:r>
      <w:proofErr w:type="spellStart"/>
      <w:r w:rsidRPr="00BB2AD1">
        <w:rPr>
          <w:rFonts w:eastAsia="Times New Roman" w:cstheme="minorHAnsi"/>
          <w:kern w:val="36"/>
          <w:sz w:val="24"/>
          <w:szCs w:val="24"/>
          <w:lang w:eastAsia="it-IT"/>
          <w14:ligatures w14:val="none"/>
        </w:rPr>
        <w:t>I·CONnect-Clough</w:t>
      </w:r>
      <w:proofErr w:type="spellEnd"/>
      <w:r w:rsidRPr="00BB2AD1">
        <w:rPr>
          <w:rFonts w:eastAsia="Times New Roman" w:cstheme="minorHAnsi"/>
          <w:kern w:val="36"/>
          <w:sz w:val="24"/>
          <w:szCs w:val="24"/>
          <w:lang w:eastAsia="it-IT"/>
          <w14:ligatures w14:val="none"/>
        </w:rPr>
        <w:t xml:space="preserve"> Center</w:t>
      </w:r>
    </w:p>
    <w:p w14:paraId="00EC6FFC" w14:textId="77777777" w:rsidR="00BB2AD1" w:rsidRDefault="00BB2AD1" w:rsidP="00BB2AD1">
      <w:pPr>
        <w:spacing w:after="0" w:line="240" w:lineRule="auto"/>
        <w:jc w:val="both"/>
        <w:rPr>
          <w:rFonts w:cstheme="minorHAnsi"/>
          <w:sz w:val="24"/>
          <w:szCs w:val="24"/>
        </w:rPr>
      </w:pPr>
    </w:p>
    <w:p w14:paraId="264BA861" w14:textId="401501A2" w:rsidR="0031062F" w:rsidRDefault="00E54A72" w:rsidP="00BB2AD1">
      <w:pPr>
        <w:spacing w:after="0" w:line="240" w:lineRule="auto"/>
        <w:jc w:val="both"/>
      </w:pPr>
      <w:r w:rsidRPr="00BB2AD1">
        <w:rPr>
          <w:rFonts w:cstheme="minorHAnsi"/>
          <w:sz w:val="24"/>
          <w:szCs w:val="24"/>
          <w:lang w:val="en-GB"/>
        </w:rPr>
        <w:t>*</w:t>
      </w:r>
      <w:r w:rsidRPr="00BB2AD1">
        <w:rPr>
          <w:rFonts w:cstheme="minorHAnsi"/>
          <w:b/>
          <w:bCs/>
          <w:sz w:val="24"/>
          <w:szCs w:val="24"/>
          <w:lang w:val="en-GB"/>
        </w:rPr>
        <w:t>Global review of Constitutional law</w:t>
      </w:r>
      <w:r w:rsidRPr="00BB2AD1">
        <w:rPr>
          <w:rFonts w:cstheme="minorHAnsi"/>
          <w:sz w:val="24"/>
          <w:szCs w:val="24"/>
          <w:lang w:val="en-GB"/>
        </w:rPr>
        <w:t>.</w:t>
      </w:r>
      <w:r w:rsidRPr="00BB2AD1">
        <w:rPr>
          <w:lang w:val="en-GB"/>
        </w:rPr>
        <w:t xml:space="preserve"> –</w:t>
      </w:r>
      <w:r w:rsidR="00A32E0D" w:rsidRPr="00BB2AD1">
        <w:rPr>
          <w:lang w:val="en-GB"/>
        </w:rPr>
        <w:t xml:space="preserve"> [2021]</w:t>
      </w:r>
      <w:r w:rsidRPr="00BB2AD1">
        <w:rPr>
          <w:lang w:val="en-GB"/>
        </w:rPr>
        <w:t>-2022. - [Trieste</w:t>
      </w:r>
      <w:proofErr w:type="gramStart"/>
      <w:r w:rsidRPr="00BB2AD1">
        <w:rPr>
          <w:lang w:val="en-GB"/>
        </w:rPr>
        <w:t>] :</w:t>
      </w:r>
      <w:proofErr w:type="gramEnd"/>
      <w:r w:rsidRPr="00BB2AD1">
        <w:rPr>
          <w:lang w:val="en-GB"/>
        </w:rPr>
        <w:t xml:space="preserve"> EUT, [20</w:t>
      </w:r>
      <w:r w:rsidR="00A32E0D" w:rsidRPr="00BB2AD1">
        <w:rPr>
          <w:lang w:val="en-GB"/>
        </w:rPr>
        <w:t>21</w:t>
      </w:r>
      <w:r w:rsidRPr="00BB2AD1">
        <w:rPr>
          <w:lang w:val="en-GB"/>
        </w:rPr>
        <w:t xml:space="preserve">-2022]. – 2 </w:t>
      </w:r>
      <w:proofErr w:type="spellStart"/>
      <w:proofErr w:type="gramStart"/>
      <w:r w:rsidRPr="00BB2AD1">
        <w:rPr>
          <w:lang w:val="en-GB"/>
        </w:rPr>
        <w:t>volumi</w:t>
      </w:r>
      <w:proofErr w:type="spellEnd"/>
      <w:r w:rsidRPr="00BB2AD1">
        <w:rPr>
          <w:lang w:val="en-GB"/>
        </w:rPr>
        <w:t xml:space="preserve"> ;</w:t>
      </w:r>
      <w:proofErr w:type="gramEnd"/>
      <w:r w:rsidRPr="00BB2AD1">
        <w:rPr>
          <w:lang w:val="en-GB"/>
        </w:rPr>
        <w:t xml:space="preserve"> 28 cm. </w:t>
      </w:r>
      <w:r>
        <w:t xml:space="preserve">((Annuale. - Prima del titolo: I </w:t>
      </w:r>
      <w:proofErr w:type="spellStart"/>
      <w:r>
        <w:t>CONnect</w:t>
      </w:r>
      <w:proofErr w:type="spellEnd"/>
      <w:r>
        <w:t xml:space="preserve">. - Disponibile anche online. </w:t>
      </w:r>
      <w:r w:rsidR="00A32E0D">
        <w:t>–</w:t>
      </w:r>
      <w:r>
        <w:t xml:space="preserve"> </w:t>
      </w:r>
      <w:r w:rsidR="00A32E0D">
        <w:t xml:space="preserve">Dal 2016 al 2020 disponibile solo online. - </w:t>
      </w:r>
      <w:r>
        <w:t>CFI1121128</w:t>
      </w:r>
    </w:p>
    <w:p w14:paraId="100837DC" w14:textId="77777777" w:rsidR="00BB2AD1" w:rsidRDefault="00BB2AD1" w:rsidP="00BB2AD1">
      <w:pPr>
        <w:spacing w:after="0" w:line="240" w:lineRule="auto"/>
        <w:jc w:val="both"/>
      </w:pPr>
    </w:p>
    <w:p w14:paraId="7E825D8B" w14:textId="0990B8A5" w:rsidR="00E54A72" w:rsidRDefault="00E54A72" w:rsidP="00BB2AD1">
      <w:pPr>
        <w:spacing w:after="0" w:line="240" w:lineRule="auto"/>
        <w:jc w:val="both"/>
      </w:pPr>
      <w:r>
        <w:t>Soggetto: Diritto costituzionale - 20</w:t>
      </w:r>
      <w:r w:rsidR="00BB2AD1">
        <w:t>16</w:t>
      </w:r>
      <w:r>
        <w:t>-2022</w:t>
      </w:r>
    </w:p>
    <w:p w14:paraId="73586AD2" w14:textId="77777777" w:rsidR="00BB2AD1" w:rsidRDefault="00BB2AD1" w:rsidP="00BB2AD1">
      <w:pPr>
        <w:spacing w:after="0" w:line="240" w:lineRule="auto"/>
        <w:jc w:val="both"/>
      </w:pPr>
    </w:p>
    <w:p w14:paraId="3887B8CF" w14:textId="19C05C2B" w:rsidR="00E54A72" w:rsidRPr="00E54A72" w:rsidRDefault="00E54A72" w:rsidP="00BB2AD1">
      <w:pPr>
        <w:spacing w:after="0" w:line="240" w:lineRule="auto"/>
        <w:jc w:val="both"/>
        <w:rPr>
          <w:color w:val="C00000"/>
          <w:sz w:val="44"/>
          <w:szCs w:val="44"/>
        </w:rPr>
      </w:pPr>
      <w:r w:rsidRPr="00E54A72">
        <w:rPr>
          <w:b/>
          <w:bCs/>
          <w:color w:val="C00000"/>
          <w:sz w:val="44"/>
          <w:szCs w:val="44"/>
        </w:rPr>
        <w:t>Volumi disponibili in rete</w:t>
      </w:r>
      <w:r w:rsidR="00A32E0D">
        <w:rPr>
          <w:b/>
          <w:bCs/>
          <w:color w:val="C00000"/>
          <w:sz w:val="44"/>
          <w:szCs w:val="44"/>
        </w:rPr>
        <w:t xml:space="preserve"> </w:t>
      </w:r>
      <w:hyperlink r:id="rId9" w:history="1">
        <w:r w:rsidR="00A32E0D" w:rsidRPr="00A32E0D">
          <w:rPr>
            <w:rStyle w:val="Collegamentoipertestuale"/>
            <w:sz w:val="44"/>
            <w:szCs w:val="44"/>
          </w:rPr>
          <w:t>2018</w:t>
        </w:r>
      </w:hyperlink>
      <w:r w:rsidR="00A32E0D">
        <w:rPr>
          <w:color w:val="C00000"/>
          <w:sz w:val="44"/>
          <w:szCs w:val="44"/>
        </w:rPr>
        <w:t>;</w:t>
      </w:r>
      <w:r w:rsidR="00A32E0D">
        <w:rPr>
          <w:b/>
          <w:bCs/>
          <w:color w:val="C00000"/>
          <w:sz w:val="44"/>
          <w:szCs w:val="44"/>
        </w:rPr>
        <w:t xml:space="preserve"> </w:t>
      </w:r>
      <w:hyperlink r:id="rId10" w:history="1">
        <w:r w:rsidR="00A32E0D" w:rsidRPr="00A32E0D">
          <w:rPr>
            <w:rStyle w:val="Collegamentoipertestuale"/>
            <w:sz w:val="44"/>
            <w:szCs w:val="44"/>
          </w:rPr>
          <w:t>2020</w:t>
        </w:r>
      </w:hyperlink>
      <w:r w:rsidR="00A32E0D">
        <w:rPr>
          <w:color w:val="C00000"/>
          <w:sz w:val="44"/>
          <w:szCs w:val="44"/>
        </w:rPr>
        <w:t xml:space="preserve">; </w:t>
      </w:r>
      <w:r>
        <w:rPr>
          <w:b/>
          <w:bCs/>
          <w:color w:val="C00000"/>
          <w:sz w:val="44"/>
          <w:szCs w:val="44"/>
        </w:rPr>
        <w:t xml:space="preserve"> </w:t>
      </w:r>
      <w:hyperlink r:id="rId11" w:history="1">
        <w:r w:rsidRPr="00E54A72">
          <w:rPr>
            <w:rStyle w:val="Collegamentoipertestuale"/>
            <w:sz w:val="44"/>
            <w:szCs w:val="44"/>
          </w:rPr>
          <w:t>2021-2022</w:t>
        </w:r>
      </w:hyperlink>
    </w:p>
    <w:p w14:paraId="10585CBB" w14:textId="77777777" w:rsidR="00BB2AD1" w:rsidRPr="00BB2AD1" w:rsidRDefault="00BB2AD1" w:rsidP="00BB2AD1">
      <w:pPr>
        <w:spacing w:after="0" w:line="240" w:lineRule="auto"/>
        <w:jc w:val="both"/>
        <w:rPr>
          <w:b/>
          <w:bCs/>
          <w:color w:val="C00000"/>
          <w:sz w:val="16"/>
          <w:szCs w:val="16"/>
        </w:rPr>
      </w:pPr>
    </w:p>
    <w:p w14:paraId="4BC15751" w14:textId="52AEA0B7" w:rsidR="00E54A72" w:rsidRDefault="00E54A72" w:rsidP="00BB2AD1">
      <w:pPr>
        <w:spacing w:after="0" w:line="240" w:lineRule="auto"/>
        <w:jc w:val="both"/>
        <w:rPr>
          <w:b/>
          <w:bCs/>
          <w:color w:val="C00000"/>
          <w:sz w:val="44"/>
          <w:szCs w:val="44"/>
        </w:rPr>
      </w:pPr>
      <w:r w:rsidRPr="00E54A72">
        <w:rPr>
          <w:b/>
          <w:bCs/>
          <w:color w:val="C00000"/>
          <w:sz w:val="44"/>
          <w:szCs w:val="44"/>
        </w:rPr>
        <w:t>Informazioni storico-bibliografiche</w:t>
      </w:r>
    </w:p>
    <w:p w14:paraId="6D0E76C1" w14:textId="1597C75D" w:rsidR="00BB2AD1" w:rsidRPr="00BB2AD1" w:rsidRDefault="00BB2AD1" w:rsidP="00BB2AD1">
      <w:pPr>
        <w:pStyle w:val="PreformattatoHTML"/>
        <w:jc w:val="both"/>
        <w:rPr>
          <w:rStyle w:val="y2iqfc"/>
          <w:rFonts w:asciiTheme="minorHAnsi" w:eastAsiaTheme="majorEastAsia" w:hAnsiTheme="minorHAnsi" w:cstheme="minorHAnsi"/>
          <w:sz w:val="18"/>
          <w:szCs w:val="18"/>
        </w:rPr>
      </w:pPr>
      <w:r w:rsidRPr="00BB2AD1">
        <w:rPr>
          <w:rStyle w:val="y2iqfc"/>
          <w:rFonts w:asciiTheme="minorHAnsi" w:eastAsiaTheme="majorEastAsia" w:hAnsiTheme="minorHAnsi" w:cstheme="minorHAnsi"/>
          <w:sz w:val="18"/>
          <w:szCs w:val="18"/>
        </w:rPr>
        <w:t xml:space="preserve">Il </w:t>
      </w:r>
      <w:proofErr w:type="spellStart"/>
      <w:r w:rsidRPr="00BB2AD1">
        <w:rPr>
          <w:rStyle w:val="y2iqfc"/>
          <w:rFonts w:asciiTheme="minorHAnsi" w:eastAsiaTheme="majorEastAsia" w:hAnsiTheme="minorHAnsi" w:cstheme="minorHAnsi"/>
          <w:sz w:val="18"/>
          <w:szCs w:val="18"/>
        </w:rPr>
        <w:t>Clough</w:t>
      </w:r>
      <w:proofErr w:type="spellEnd"/>
      <w:r w:rsidRPr="00BB2AD1">
        <w:rPr>
          <w:rStyle w:val="y2iqfc"/>
          <w:rFonts w:asciiTheme="minorHAnsi" w:eastAsiaTheme="majorEastAsia" w:hAnsiTheme="minorHAnsi" w:cstheme="minorHAnsi"/>
          <w:sz w:val="18"/>
          <w:szCs w:val="18"/>
        </w:rPr>
        <w:t xml:space="preserve"> Center for the Study of </w:t>
      </w:r>
      <w:proofErr w:type="spellStart"/>
      <w:r w:rsidRPr="00BB2AD1">
        <w:rPr>
          <w:rStyle w:val="y2iqfc"/>
          <w:rFonts w:asciiTheme="minorHAnsi" w:eastAsiaTheme="majorEastAsia" w:hAnsiTheme="minorHAnsi" w:cstheme="minorHAnsi"/>
          <w:sz w:val="18"/>
          <w:szCs w:val="18"/>
        </w:rPr>
        <w:t>Constitutional</w:t>
      </w:r>
      <w:proofErr w:type="spellEnd"/>
      <w:r w:rsidRPr="00BB2AD1">
        <w:rPr>
          <w:rStyle w:val="y2iqfc"/>
          <w:rFonts w:asciiTheme="minorHAnsi" w:eastAsiaTheme="majorEastAsia" w:hAnsiTheme="minorHAnsi" w:cstheme="minorHAnsi"/>
          <w:sz w:val="18"/>
          <w:szCs w:val="18"/>
        </w:rPr>
        <w:t xml:space="preserve"> Democracy mira a rinvigorire e </w:t>
      </w:r>
      <w:proofErr w:type="spellStart"/>
      <w:r w:rsidRPr="00BB2AD1">
        <w:rPr>
          <w:rStyle w:val="y2iqfc"/>
          <w:rFonts w:asciiTheme="minorHAnsi" w:eastAsiaTheme="majorEastAsia" w:hAnsiTheme="minorHAnsi" w:cstheme="minorHAnsi"/>
          <w:sz w:val="18"/>
          <w:szCs w:val="18"/>
        </w:rPr>
        <w:t>reimmaginare</w:t>
      </w:r>
      <w:proofErr w:type="spellEnd"/>
      <w:r w:rsidRPr="00BB2AD1">
        <w:rPr>
          <w:rStyle w:val="y2iqfc"/>
          <w:rFonts w:asciiTheme="minorHAnsi" w:eastAsiaTheme="majorEastAsia" w:hAnsiTheme="minorHAnsi" w:cstheme="minorHAnsi"/>
          <w:sz w:val="18"/>
          <w:szCs w:val="18"/>
        </w:rPr>
        <w:t xml:space="preserve"> lo studio della democrazia costituzionale nel ventunesimo secolo. Adottando un approccio olistico, globale e interdisciplinare ai sistemi democratici, cerchiamo di promuovere la ricerca originale e una riflessione ponderata su come viene vissuta la democrazia negli Stati Uniti e nel mondo. Il </w:t>
      </w:r>
      <w:proofErr w:type="spellStart"/>
      <w:r w:rsidRPr="00BB2AD1">
        <w:rPr>
          <w:rStyle w:val="y2iqfc"/>
          <w:rFonts w:asciiTheme="minorHAnsi" w:eastAsiaTheme="majorEastAsia" w:hAnsiTheme="minorHAnsi" w:cstheme="minorHAnsi"/>
          <w:sz w:val="18"/>
          <w:szCs w:val="18"/>
        </w:rPr>
        <w:t>Clough</w:t>
      </w:r>
      <w:proofErr w:type="spellEnd"/>
      <w:r w:rsidRPr="00BB2AD1">
        <w:rPr>
          <w:rStyle w:val="y2iqfc"/>
          <w:rFonts w:asciiTheme="minorHAnsi" w:eastAsiaTheme="majorEastAsia" w:hAnsiTheme="minorHAnsi" w:cstheme="minorHAnsi"/>
          <w:sz w:val="18"/>
          <w:szCs w:val="18"/>
        </w:rPr>
        <w:t xml:space="preserve"> Center offre opportunità di apprendimento senza precedenti agli studenti del Boston College e un ambiente intellettuale vivace per l'intera comunità accademica.</w:t>
      </w:r>
      <w:r w:rsidRPr="00BB2AD1">
        <w:rPr>
          <w:rFonts w:asciiTheme="minorHAnsi" w:hAnsiTheme="minorHAnsi" w:cstheme="minorHAnsi"/>
          <w:sz w:val="18"/>
          <w:szCs w:val="18"/>
        </w:rPr>
        <w:t xml:space="preserve"> </w:t>
      </w:r>
      <w:hyperlink r:id="rId12" w:history="1">
        <w:r w:rsidRPr="00BB2AD1">
          <w:rPr>
            <w:rStyle w:val="Collegamentoipertestuale"/>
            <w:rFonts w:asciiTheme="minorHAnsi" w:eastAsiaTheme="majorEastAsia" w:hAnsiTheme="minorHAnsi" w:cstheme="minorHAnsi"/>
            <w:sz w:val="18"/>
            <w:szCs w:val="18"/>
          </w:rPr>
          <w:t>https://www.bc.edu/bc-web/centers/clough.html</w:t>
        </w:r>
      </w:hyperlink>
    </w:p>
    <w:p w14:paraId="4E15B50B" w14:textId="77777777" w:rsidR="00BB2AD1" w:rsidRPr="00BB2AD1" w:rsidRDefault="00BB2AD1" w:rsidP="00BB2AD1">
      <w:pPr>
        <w:pStyle w:val="PreformattatoHTML"/>
        <w:jc w:val="both"/>
        <w:rPr>
          <w:rFonts w:asciiTheme="minorHAnsi" w:hAnsiTheme="minorHAnsi" w:cstheme="minorHAnsi"/>
          <w:sz w:val="18"/>
          <w:szCs w:val="18"/>
        </w:rPr>
      </w:pPr>
    </w:p>
    <w:p w14:paraId="336A22C0" w14:textId="7C45512D" w:rsidR="00E54A72" w:rsidRPr="00BB2AD1" w:rsidRDefault="00E54A72" w:rsidP="00B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sidRPr="00BB2AD1">
        <w:rPr>
          <w:rFonts w:eastAsia="Times New Roman" w:cstheme="minorHAnsi"/>
          <w:kern w:val="0"/>
          <w:sz w:val="18"/>
          <w:szCs w:val="18"/>
          <w:lang w:eastAsia="it-IT"/>
          <w14:ligatures w14:val="none"/>
        </w:rPr>
        <w:t xml:space="preserve">La serie The Global Review of </w:t>
      </w:r>
      <w:proofErr w:type="spellStart"/>
      <w:r w:rsidRPr="00BB2AD1">
        <w:rPr>
          <w:rFonts w:eastAsia="Times New Roman" w:cstheme="minorHAnsi"/>
          <w:kern w:val="0"/>
          <w:sz w:val="18"/>
          <w:szCs w:val="18"/>
          <w:lang w:eastAsia="it-IT"/>
          <w14:ligatures w14:val="none"/>
        </w:rPr>
        <w:t>Constitutional</w:t>
      </w:r>
      <w:proofErr w:type="spellEnd"/>
      <w:r w:rsidRPr="00BB2AD1">
        <w:rPr>
          <w:rFonts w:eastAsia="Times New Roman" w:cstheme="minorHAnsi"/>
          <w:kern w:val="0"/>
          <w:sz w:val="18"/>
          <w:szCs w:val="18"/>
          <w:lang w:eastAsia="it-IT"/>
          <w14:ligatures w14:val="none"/>
        </w:rPr>
        <w:t xml:space="preserve"> </w:t>
      </w:r>
      <w:proofErr w:type="spellStart"/>
      <w:r w:rsidRPr="00BB2AD1">
        <w:rPr>
          <w:rFonts w:eastAsia="Times New Roman" w:cstheme="minorHAnsi"/>
          <w:kern w:val="0"/>
          <w:sz w:val="18"/>
          <w:szCs w:val="18"/>
          <w:lang w:eastAsia="it-IT"/>
          <w14:ligatures w14:val="none"/>
        </w:rPr>
        <w:t>Law</w:t>
      </w:r>
      <w:proofErr w:type="spellEnd"/>
      <w:r w:rsidRPr="00BB2AD1">
        <w:rPr>
          <w:rFonts w:eastAsia="Times New Roman" w:cstheme="minorHAnsi"/>
          <w:kern w:val="0"/>
          <w:sz w:val="18"/>
          <w:szCs w:val="18"/>
          <w:lang w:eastAsia="it-IT"/>
          <w14:ligatures w14:val="none"/>
        </w:rPr>
        <w:t xml:space="preserve"> raccoglie rapporti dettagliati ma relativamente brevi sugli sviluppi e sui casi costituzionali durante lo scorso anno solare. I rapporti contenuti in questa serie di volumi, unica nel suo genere, offrono ai lettori una conoscenza sistematica che, in precedenza, era limitata principalmente alle reti locali piuttosto che a un pubblico di lettori più ampio. I rapporti sono solitamente redatti da illustri studiosi di diritto e/o da giudici delle Corti costituzionali e supreme.</w:t>
      </w:r>
      <w:r w:rsidRPr="00BB2AD1">
        <w:rPr>
          <w:rFonts w:cstheme="minorHAnsi"/>
          <w:sz w:val="18"/>
          <w:szCs w:val="18"/>
        </w:rPr>
        <w:t xml:space="preserve"> </w:t>
      </w:r>
      <w:hyperlink r:id="rId13" w:history="1">
        <w:r w:rsidRPr="00BB2AD1">
          <w:rPr>
            <w:rStyle w:val="Collegamentoipertestuale"/>
            <w:rFonts w:eastAsia="Times New Roman" w:cstheme="minorHAnsi"/>
            <w:kern w:val="0"/>
            <w:sz w:val="18"/>
            <w:szCs w:val="18"/>
            <w:lang w:eastAsia="it-IT"/>
            <w14:ligatures w14:val="none"/>
          </w:rPr>
          <w:t>https://eut.units.it/it/catalogo/2021-global-review-of-constitutional-law/5531</w:t>
        </w:r>
      </w:hyperlink>
    </w:p>
    <w:p w14:paraId="6F3AA3C1" w14:textId="77777777" w:rsidR="00E54A72" w:rsidRPr="00BB2AD1" w:rsidRDefault="00E54A72" w:rsidP="00B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p>
    <w:p w14:paraId="6F2FA6FF" w14:textId="462A2FC9" w:rsidR="00E54A72" w:rsidRPr="00BB2AD1" w:rsidRDefault="00E54A72" w:rsidP="00BB2AD1">
      <w:pPr>
        <w:pStyle w:val="PreformattatoHTML"/>
        <w:jc w:val="both"/>
        <w:rPr>
          <w:rFonts w:asciiTheme="minorHAnsi" w:hAnsiTheme="minorHAnsi" w:cstheme="minorHAnsi"/>
          <w:sz w:val="18"/>
          <w:szCs w:val="18"/>
        </w:rPr>
      </w:pPr>
      <w:r w:rsidRPr="00BB2AD1">
        <w:rPr>
          <w:rStyle w:val="y2iqfc"/>
          <w:rFonts w:asciiTheme="minorHAnsi" w:eastAsiaTheme="majorEastAsia" w:hAnsiTheme="minorHAnsi" w:cstheme="minorHAnsi"/>
          <w:sz w:val="18"/>
          <w:szCs w:val="18"/>
        </w:rPr>
        <w:t xml:space="preserve">Quando abbiamo creato la Global Review of </w:t>
      </w:r>
      <w:proofErr w:type="spellStart"/>
      <w:r w:rsidRPr="00BB2AD1">
        <w:rPr>
          <w:rStyle w:val="y2iqfc"/>
          <w:rFonts w:asciiTheme="minorHAnsi" w:eastAsiaTheme="majorEastAsia" w:hAnsiTheme="minorHAnsi" w:cstheme="minorHAnsi"/>
          <w:sz w:val="18"/>
          <w:szCs w:val="18"/>
        </w:rPr>
        <w:t>Constitutional</w:t>
      </w:r>
      <w:proofErr w:type="spellEnd"/>
      <w:r w:rsidRPr="00BB2AD1">
        <w:rPr>
          <w:rStyle w:val="y2iqfc"/>
          <w:rFonts w:asciiTheme="minorHAnsi" w:eastAsiaTheme="majorEastAsia" w:hAnsiTheme="minorHAnsi" w:cstheme="minorHAnsi"/>
          <w:sz w:val="18"/>
          <w:szCs w:val="18"/>
        </w:rPr>
        <w:t xml:space="preserve"> </w:t>
      </w:r>
      <w:proofErr w:type="spellStart"/>
      <w:r w:rsidRPr="00BB2AD1">
        <w:rPr>
          <w:rStyle w:val="y2iqfc"/>
          <w:rFonts w:asciiTheme="minorHAnsi" w:eastAsiaTheme="majorEastAsia" w:hAnsiTheme="minorHAnsi" w:cstheme="minorHAnsi"/>
          <w:sz w:val="18"/>
          <w:szCs w:val="18"/>
        </w:rPr>
        <w:t>Law</w:t>
      </w:r>
      <w:proofErr w:type="spellEnd"/>
      <w:r w:rsidRPr="00BB2AD1">
        <w:rPr>
          <w:rStyle w:val="y2iqfc"/>
          <w:rFonts w:asciiTheme="minorHAnsi" w:eastAsiaTheme="majorEastAsia" w:hAnsiTheme="minorHAnsi" w:cstheme="minorHAnsi"/>
          <w:sz w:val="18"/>
          <w:szCs w:val="18"/>
        </w:rPr>
        <w:t xml:space="preserve"> nel 2016, la nostra aspirazione era quella di rendere il mondo più piccolo e più familiare, rendendo disponibile in inglese la giurisprudenza delle alte corti delle giurisdizioni del mondo. Sette anni dopo, continuiamo a rendere il mondo più piccolo e speriamo di renderlo sempre più piccolo negli anni a venire. Questa edizione della Global Review è speciale per due motivi. Innanzitutto, segna il secondo anno del nostro nuovo rapporto con il nostro editore, Edizioni Università di Trieste (EUT), un'eccellente casa editrice accademica che ha collaborato con noi per produrre questa magnifica risorsa per gli studiosi costituzionali di tutto il mondo. In secondo luogo, abbiamo un nuovo co-redattore </w:t>
      </w:r>
      <w:proofErr w:type="gramStart"/>
      <w:r w:rsidRPr="00BB2AD1">
        <w:rPr>
          <w:rStyle w:val="y2iqfc"/>
          <w:rFonts w:asciiTheme="minorHAnsi" w:eastAsiaTheme="majorEastAsia" w:hAnsiTheme="minorHAnsi" w:cstheme="minorHAnsi"/>
          <w:sz w:val="18"/>
          <w:szCs w:val="18"/>
        </w:rPr>
        <w:t>nel team</w:t>
      </w:r>
      <w:proofErr w:type="gramEnd"/>
      <w:r w:rsidRPr="00BB2AD1">
        <w:rPr>
          <w:rStyle w:val="y2iqfc"/>
          <w:rFonts w:asciiTheme="minorHAnsi" w:eastAsiaTheme="majorEastAsia" w:hAnsiTheme="minorHAnsi" w:cstheme="minorHAnsi"/>
          <w:sz w:val="18"/>
          <w:szCs w:val="18"/>
        </w:rPr>
        <w:t xml:space="preserve">: Giulia Andrade, studiosa e avvocato in Brasile. Giulia porta con sé una ricca esperienza accademica, integrata dalla sua esperienza pratica come avvocato. Siamo grati di averla </w:t>
      </w:r>
      <w:proofErr w:type="gramStart"/>
      <w:r w:rsidRPr="00BB2AD1">
        <w:rPr>
          <w:rStyle w:val="y2iqfc"/>
          <w:rFonts w:asciiTheme="minorHAnsi" w:eastAsiaTheme="majorEastAsia" w:hAnsiTheme="minorHAnsi" w:cstheme="minorHAnsi"/>
          <w:sz w:val="18"/>
          <w:szCs w:val="18"/>
        </w:rPr>
        <w:t>nel nostro team</w:t>
      </w:r>
      <w:proofErr w:type="gramEnd"/>
      <w:r w:rsidRPr="00BB2AD1">
        <w:rPr>
          <w:rStyle w:val="y2iqfc"/>
          <w:rFonts w:asciiTheme="minorHAnsi" w:eastAsiaTheme="majorEastAsia" w:hAnsiTheme="minorHAnsi" w:cstheme="minorHAnsi"/>
          <w:sz w:val="18"/>
          <w:szCs w:val="18"/>
        </w:rPr>
        <w:t xml:space="preserve"> e non vediamo l’ora di trascorrere molti anni insieme a lei in questa collaborazione globale. Come sempre, lo scopo principale della Global Review rimane lo stesso anche quest’anno: offrire ai lettori una conoscenza sistematica del diritto costituzionale specifico delle giurisdizioni che in precedenza era limitata principalmente alle reti locali piuttosto che a un pubblico di lettori più ampio. La Global Review è stata utile a giudici, accademici, funzionari eletti e nominati, nonché a laici e non solo.</w:t>
      </w:r>
      <w:r w:rsidR="00BB2AD1">
        <w:rPr>
          <w:rStyle w:val="y2iqfc"/>
          <w:rFonts w:asciiTheme="minorHAnsi" w:eastAsiaTheme="majorEastAsia" w:hAnsiTheme="minorHAnsi" w:cstheme="minorHAnsi"/>
          <w:sz w:val="18"/>
          <w:szCs w:val="18"/>
        </w:rPr>
        <w:t xml:space="preserve"> </w:t>
      </w:r>
      <w:hyperlink r:id="rId14" w:history="1">
        <w:r w:rsidRPr="00BB2AD1">
          <w:rPr>
            <w:rStyle w:val="Collegamentoipertestuale"/>
            <w:rFonts w:asciiTheme="minorHAnsi" w:hAnsiTheme="minorHAnsi" w:cstheme="minorHAnsi"/>
            <w:sz w:val="18"/>
            <w:szCs w:val="18"/>
          </w:rPr>
          <w:t>https://eut.units.it/it/catalogo/2022-global-review-of-constitutional-law/5735</w:t>
        </w:r>
      </w:hyperlink>
    </w:p>
    <w:p w14:paraId="71CC5D86" w14:textId="77777777" w:rsidR="00E54A72" w:rsidRPr="00BB2AD1" w:rsidRDefault="00E54A72" w:rsidP="00B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p>
    <w:p w14:paraId="4C13FC43" w14:textId="77777777" w:rsidR="00E54A72" w:rsidRPr="00BB2AD1" w:rsidRDefault="00E54A72" w:rsidP="00B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p>
    <w:p w14:paraId="35FDF187" w14:textId="77777777" w:rsidR="00E54A72" w:rsidRPr="00BB2AD1" w:rsidRDefault="00E54A72" w:rsidP="00BB2AD1">
      <w:pPr>
        <w:spacing w:after="0" w:line="240" w:lineRule="auto"/>
        <w:jc w:val="both"/>
        <w:rPr>
          <w:rFonts w:cstheme="minorHAnsi"/>
          <w:b/>
          <w:bCs/>
          <w:color w:val="C00000"/>
          <w:sz w:val="18"/>
          <w:szCs w:val="18"/>
        </w:rPr>
      </w:pPr>
    </w:p>
    <w:sectPr w:rsidR="00E54A72" w:rsidRPr="00BB2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1386B"/>
    <w:multiLevelType w:val="multilevel"/>
    <w:tmpl w:val="1D9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40CF0"/>
    <w:multiLevelType w:val="multilevel"/>
    <w:tmpl w:val="FB32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859787">
    <w:abstractNumId w:val="1"/>
  </w:num>
  <w:num w:numId="2" w16cid:durableId="54567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4806"/>
    <w:rsid w:val="0031062F"/>
    <w:rsid w:val="00864806"/>
    <w:rsid w:val="00A32E0D"/>
    <w:rsid w:val="00BB2AD1"/>
    <w:rsid w:val="00D672BC"/>
    <w:rsid w:val="00E54A7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2738"/>
  <w15:chartTrackingRefBased/>
  <w15:docId w15:val="{4F277606-CDEC-4080-8BDD-D0A84C67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48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8648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6480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6480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6480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648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48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48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48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480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86480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6480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6480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6480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648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48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48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48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4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48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480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48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480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4806"/>
    <w:rPr>
      <w:i/>
      <w:iCs/>
      <w:color w:val="404040" w:themeColor="text1" w:themeTint="BF"/>
    </w:rPr>
  </w:style>
  <w:style w:type="paragraph" w:styleId="Paragrafoelenco">
    <w:name w:val="List Paragraph"/>
    <w:basedOn w:val="Normale"/>
    <w:uiPriority w:val="34"/>
    <w:qFormat/>
    <w:rsid w:val="00864806"/>
    <w:pPr>
      <w:ind w:left="720"/>
      <w:contextualSpacing/>
    </w:pPr>
  </w:style>
  <w:style w:type="character" w:styleId="Enfasiintensa">
    <w:name w:val="Intense Emphasis"/>
    <w:basedOn w:val="Carpredefinitoparagrafo"/>
    <w:uiPriority w:val="21"/>
    <w:qFormat/>
    <w:rsid w:val="00864806"/>
    <w:rPr>
      <w:i/>
      <w:iCs/>
      <w:color w:val="365F91" w:themeColor="accent1" w:themeShade="BF"/>
    </w:rPr>
  </w:style>
  <w:style w:type="paragraph" w:styleId="Citazioneintensa">
    <w:name w:val="Intense Quote"/>
    <w:basedOn w:val="Normale"/>
    <w:next w:val="Normale"/>
    <w:link w:val="CitazioneintensaCarattere"/>
    <w:uiPriority w:val="30"/>
    <w:qFormat/>
    <w:rsid w:val="008648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64806"/>
    <w:rPr>
      <w:i/>
      <w:iCs/>
      <w:color w:val="365F91" w:themeColor="accent1" w:themeShade="BF"/>
    </w:rPr>
  </w:style>
  <w:style w:type="character" w:styleId="Riferimentointenso">
    <w:name w:val="Intense Reference"/>
    <w:basedOn w:val="Carpredefinitoparagrafo"/>
    <w:uiPriority w:val="32"/>
    <w:qFormat/>
    <w:rsid w:val="00864806"/>
    <w:rPr>
      <w:b/>
      <w:bCs/>
      <w:smallCaps/>
      <w:color w:val="365F91" w:themeColor="accent1" w:themeShade="BF"/>
      <w:spacing w:val="5"/>
    </w:rPr>
  </w:style>
  <w:style w:type="character" w:styleId="Collegamentoipertestuale">
    <w:name w:val="Hyperlink"/>
    <w:basedOn w:val="Carpredefinitoparagrafo"/>
    <w:uiPriority w:val="99"/>
    <w:unhideWhenUsed/>
    <w:rsid w:val="00E54A72"/>
    <w:rPr>
      <w:color w:val="0000FF" w:themeColor="hyperlink"/>
      <w:u w:val="single"/>
    </w:rPr>
  </w:style>
  <w:style w:type="character" w:styleId="Menzionenonrisolta">
    <w:name w:val="Unresolved Mention"/>
    <w:basedOn w:val="Carpredefinitoparagrafo"/>
    <w:uiPriority w:val="99"/>
    <w:semiHidden/>
    <w:unhideWhenUsed/>
    <w:rsid w:val="00E54A72"/>
    <w:rPr>
      <w:color w:val="605E5C"/>
      <w:shd w:val="clear" w:color="auto" w:fill="E1DFDD"/>
    </w:rPr>
  </w:style>
  <w:style w:type="paragraph" w:styleId="PreformattatoHTML">
    <w:name w:val="HTML Preformatted"/>
    <w:basedOn w:val="Normale"/>
    <w:link w:val="PreformattatoHTMLCarattere"/>
    <w:uiPriority w:val="99"/>
    <w:unhideWhenUsed/>
    <w:rsid w:val="00E54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E54A7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E54A72"/>
  </w:style>
  <w:style w:type="paragraph" w:customStyle="1" w:styleId="has-medium-font-size">
    <w:name w:val="has-medium-font-size"/>
    <w:basedOn w:val="Normale"/>
    <w:rsid w:val="00E54A7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54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5645">
      <w:bodyDiv w:val="1"/>
      <w:marLeft w:val="0"/>
      <w:marRight w:val="0"/>
      <w:marTop w:val="0"/>
      <w:marBottom w:val="0"/>
      <w:divBdr>
        <w:top w:val="none" w:sz="0" w:space="0" w:color="auto"/>
        <w:left w:val="none" w:sz="0" w:space="0" w:color="auto"/>
        <w:bottom w:val="none" w:sz="0" w:space="0" w:color="auto"/>
        <w:right w:val="none" w:sz="0" w:space="0" w:color="auto"/>
      </w:divBdr>
    </w:div>
    <w:div w:id="422193262">
      <w:bodyDiv w:val="1"/>
      <w:marLeft w:val="0"/>
      <w:marRight w:val="0"/>
      <w:marTop w:val="0"/>
      <w:marBottom w:val="0"/>
      <w:divBdr>
        <w:top w:val="none" w:sz="0" w:space="0" w:color="auto"/>
        <w:left w:val="none" w:sz="0" w:space="0" w:color="auto"/>
        <w:bottom w:val="none" w:sz="0" w:space="0" w:color="auto"/>
        <w:right w:val="none" w:sz="0" w:space="0" w:color="auto"/>
      </w:divBdr>
      <w:divsChild>
        <w:div w:id="152265063">
          <w:marLeft w:val="0"/>
          <w:marRight w:val="0"/>
          <w:marTop w:val="0"/>
          <w:marBottom w:val="0"/>
          <w:divBdr>
            <w:top w:val="none" w:sz="0" w:space="0" w:color="auto"/>
            <w:left w:val="none" w:sz="0" w:space="0" w:color="auto"/>
            <w:bottom w:val="none" w:sz="0" w:space="0" w:color="auto"/>
            <w:right w:val="none" w:sz="0" w:space="0" w:color="auto"/>
          </w:divBdr>
        </w:div>
        <w:div w:id="1387610741">
          <w:marLeft w:val="0"/>
          <w:marRight w:val="0"/>
          <w:marTop w:val="0"/>
          <w:marBottom w:val="0"/>
          <w:divBdr>
            <w:top w:val="none" w:sz="0" w:space="0" w:color="auto"/>
            <w:left w:val="none" w:sz="0" w:space="0" w:color="auto"/>
            <w:bottom w:val="none" w:sz="0" w:space="0" w:color="auto"/>
            <w:right w:val="none" w:sz="0" w:space="0" w:color="auto"/>
          </w:divBdr>
          <w:divsChild>
            <w:div w:id="8955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367">
      <w:bodyDiv w:val="1"/>
      <w:marLeft w:val="0"/>
      <w:marRight w:val="0"/>
      <w:marTop w:val="0"/>
      <w:marBottom w:val="0"/>
      <w:divBdr>
        <w:top w:val="none" w:sz="0" w:space="0" w:color="auto"/>
        <w:left w:val="none" w:sz="0" w:space="0" w:color="auto"/>
        <w:bottom w:val="none" w:sz="0" w:space="0" w:color="auto"/>
        <w:right w:val="none" w:sz="0" w:space="0" w:color="auto"/>
      </w:divBdr>
    </w:div>
    <w:div w:id="1940214270">
      <w:bodyDiv w:val="1"/>
      <w:marLeft w:val="0"/>
      <w:marRight w:val="0"/>
      <w:marTop w:val="0"/>
      <w:marBottom w:val="0"/>
      <w:divBdr>
        <w:top w:val="none" w:sz="0" w:space="0" w:color="auto"/>
        <w:left w:val="none" w:sz="0" w:space="0" w:color="auto"/>
        <w:bottom w:val="none" w:sz="0" w:space="0" w:color="auto"/>
        <w:right w:val="none" w:sz="0" w:space="0" w:color="auto"/>
      </w:divBdr>
    </w:div>
    <w:div w:id="19796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ut.units.it/it/catalogo/2021-global-review-of-constitutional-law/553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c.edu/bc-web/centers/cloug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ut.units.it/it/ricerca?q=global+revie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papers.ssrn.com/sol3/papers.cfm?abstract_id=3942876" TargetMode="External"/><Relationship Id="rId4" Type="http://schemas.openxmlformats.org/officeDocument/2006/relationships/webSettings" Target="webSettings.xml"/><Relationship Id="rId9" Type="http://schemas.openxmlformats.org/officeDocument/2006/relationships/hyperlink" Target="https://papers.ssrn.com/sol3/papers.cfm?abstract_id=3471638" TargetMode="External"/><Relationship Id="rId14" Type="http://schemas.openxmlformats.org/officeDocument/2006/relationships/hyperlink" Target="https://eut.units.it/it/catalogo/2022-global-review-of-constitutional-law/57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603</Words>
  <Characters>3442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2024-02-27T14:31:00Z</dcterms:created>
  <dcterms:modified xsi:type="dcterms:W3CDTF">2024-02-29T17:12:00Z</dcterms:modified>
</cp:coreProperties>
</file>