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9495C" w14:textId="27EEC203" w:rsidR="008B6EFF" w:rsidRPr="00B076D2" w:rsidRDefault="008B6EFF" w:rsidP="00B076D2">
      <w:pPr>
        <w:spacing w:after="0" w:line="240" w:lineRule="auto"/>
        <w:jc w:val="both"/>
        <w:rPr>
          <w:rFonts w:cstheme="minorHAnsi"/>
          <w:bCs/>
          <w:i/>
          <w:sz w:val="16"/>
          <w:szCs w:val="16"/>
        </w:rPr>
      </w:pPr>
      <w:r w:rsidRPr="00B076D2">
        <w:rPr>
          <w:rFonts w:cstheme="minorHAnsi"/>
          <w:b/>
          <w:bCs/>
          <w:color w:val="C00000"/>
          <w:sz w:val="44"/>
          <w:szCs w:val="44"/>
        </w:rPr>
        <w:t>AN6868</w:t>
      </w:r>
      <w:r w:rsidRPr="00B076D2">
        <w:rPr>
          <w:rFonts w:cstheme="minorHAnsi"/>
          <w:b/>
          <w:bCs/>
        </w:rPr>
        <w:tab/>
      </w:r>
      <w:r w:rsidRPr="00B076D2">
        <w:rPr>
          <w:rFonts w:cstheme="minorHAnsi"/>
          <w:b/>
          <w:bCs/>
        </w:rPr>
        <w:tab/>
      </w:r>
      <w:r w:rsidRPr="00B076D2">
        <w:rPr>
          <w:rFonts w:cstheme="minorHAnsi"/>
          <w:b/>
          <w:bCs/>
        </w:rPr>
        <w:tab/>
      </w:r>
      <w:r w:rsidRPr="00B076D2">
        <w:rPr>
          <w:rFonts w:cstheme="minorHAnsi"/>
          <w:b/>
          <w:bCs/>
        </w:rPr>
        <w:tab/>
      </w:r>
      <w:r w:rsidRPr="00B076D2">
        <w:rPr>
          <w:rFonts w:cstheme="minorHAnsi"/>
          <w:b/>
          <w:bCs/>
        </w:rPr>
        <w:tab/>
      </w:r>
      <w:r w:rsidRPr="00B076D2">
        <w:rPr>
          <w:rFonts w:cstheme="minorHAnsi"/>
          <w:b/>
          <w:bCs/>
        </w:rPr>
        <w:tab/>
      </w:r>
      <w:r w:rsidRPr="00B076D2">
        <w:rPr>
          <w:rFonts w:cstheme="minorHAnsi"/>
          <w:b/>
          <w:bCs/>
        </w:rPr>
        <w:tab/>
      </w:r>
      <w:r w:rsidRPr="00B076D2">
        <w:rPr>
          <w:rFonts w:cstheme="minorHAnsi"/>
          <w:b/>
          <w:bCs/>
        </w:rPr>
        <w:tab/>
      </w:r>
      <w:r w:rsidRPr="00B076D2">
        <w:rPr>
          <w:rFonts w:cstheme="minorHAnsi"/>
          <w:bCs/>
          <w:i/>
          <w:sz w:val="16"/>
          <w:szCs w:val="16"/>
        </w:rPr>
        <w:t xml:space="preserve">Scheda creata </w:t>
      </w:r>
      <w:proofErr w:type="gramStart"/>
      <w:r w:rsidRPr="00B076D2">
        <w:rPr>
          <w:rFonts w:cstheme="minorHAnsi"/>
          <w:bCs/>
          <w:i/>
          <w:sz w:val="16"/>
          <w:szCs w:val="16"/>
        </w:rPr>
        <w:t>il 8</w:t>
      </w:r>
      <w:proofErr w:type="gramEnd"/>
      <w:r w:rsidRPr="00B076D2">
        <w:rPr>
          <w:rFonts w:cstheme="minorHAnsi"/>
          <w:bCs/>
          <w:i/>
          <w:sz w:val="16"/>
          <w:szCs w:val="16"/>
        </w:rPr>
        <w:t xml:space="preserve"> maggio 2024</w:t>
      </w:r>
    </w:p>
    <w:p w14:paraId="206A8876" w14:textId="77777777" w:rsidR="008B6EFF" w:rsidRPr="00B076D2" w:rsidRDefault="008B6EFF" w:rsidP="00B076D2">
      <w:pPr>
        <w:spacing w:after="0" w:line="240" w:lineRule="auto"/>
        <w:jc w:val="both"/>
        <w:rPr>
          <w:rFonts w:cstheme="minorHAnsi"/>
        </w:rPr>
      </w:pPr>
      <w:r w:rsidRPr="00B076D2">
        <w:rPr>
          <w:rFonts w:cstheme="minorHAnsi"/>
          <w:b/>
          <w:bCs/>
          <w:color w:val="C00000"/>
          <w:sz w:val="44"/>
          <w:szCs w:val="44"/>
        </w:rPr>
        <w:t>Descrizione bibliografica</w:t>
      </w:r>
      <w:r w:rsidRPr="00B076D2">
        <w:rPr>
          <w:rFonts w:cstheme="minorHAnsi"/>
        </w:rPr>
        <w:t xml:space="preserve"> </w:t>
      </w:r>
    </w:p>
    <w:p w14:paraId="278F1684" w14:textId="725112BD" w:rsidR="0031062F" w:rsidRDefault="006C2212" w:rsidP="00B076D2">
      <w:pPr>
        <w:spacing w:after="0" w:line="240" w:lineRule="auto"/>
        <w:jc w:val="both"/>
        <w:rPr>
          <w:rFonts w:cstheme="minorHAnsi"/>
          <w:sz w:val="24"/>
          <w:szCs w:val="24"/>
        </w:rPr>
      </w:pPr>
      <w:r w:rsidRPr="00B076D2">
        <w:rPr>
          <w:rFonts w:cstheme="minorHAnsi"/>
          <w:sz w:val="24"/>
          <w:szCs w:val="24"/>
        </w:rPr>
        <w:t xml:space="preserve">Il </w:t>
      </w:r>
      <w:r w:rsidR="008B6EFF" w:rsidRPr="00B076D2">
        <w:rPr>
          <w:rFonts w:cstheme="minorHAnsi"/>
          <w:sz w:val="24"/>
          <w:szCs w:val="24"/>
        </w:rPr>
        <w:t>*</w:t>
      </w:r>
      <w:r w:rsidRPr="00B076D2">
        <w:rPr>
          <w:rFonts w:cstheme="minorHAnsi"/>
          <w:b/>
          <w:bCs/>
          <w:sz w:val="24"/>
          <w:szCs w:val="24"/>
        </w:rPr>
        <w:t xml:space="preserve">sistema economico </w:t>
      </w:r>
      <w:proofErr w:type="gramStart"/>
      <w:r w:rsidRPr="00B076D2">
        <w:rPr>
          <w:rFonts w:cstheme="minorHAnsi"/>
          <w:b/>
          <w:bCs/>
          <w:sz w:val="24"/>
          <w:szCs w:val="24"/>
        </w:rPr>
        <w:t>piacentino</w:t>
      </w:r>
      <w:r w:rsidRPr="00B076D2">
        <w:rPr>
          <w:rFonts w:cstheme="minorHAnsi"/>
          <w:sz w:val="24"/>
          <w:szCs w:val="24"/>
        </w:rPr>
        <w:t xml:space="preserve"> :</w:t>
      </w:r>
      <w:proofErr w:type="gramEnd"/>
      <w:r w:rsidRPr="00B076D2">
        <w:rPr>
          <w:rFonts w:cstheme="minorHAnsi"/>
          <w:sz w:val="24"/>
          <w:szCs w:val="24"/>
        </w:rPr>
        <w:t xml:space="preserve"> report .... </w:t>
      </w:r>
      <w:r w:rsidR="008B6EFF" w:rsidRPr="00B076D2">
        <w:rPr>
          <w:rFonts w:cstheme="minorHAnsi"/>
          <w:sz w:val="24"/>
          <w:szCs w:val="24"/>
        </w:rPr>
        <w:t>–</w:t>
      </w:r>
      <w:r w:rsidRPr="00B076D2">
        <w:rPr>
          <w:rFonts w:cstheme="minorHAnsi"/>
          <w:sz w:val="24"/>
          <w:szCs w:val="24"/>
        </w:rPr>
        <w:t xml:space="preserve"> </w:t>
      </w:r>
      <w:r w:rsidR="008B6EFF" w:rsidRPr="00B076D2">
        <w:rPr>
          <w:rFonts w:cstheme="minorHAnsi"/>
          <w:sz w:val="24"/>
          <w:szCs w:val="24"/>
        </w:rPr>
        <w:t xml:space="preserve">2022- </w:t>
      </w:r>
      <w:proofErr w:type="gramStart"/>
      <w:r w:rsidR="008B6EFF" w:rsidRPr="00B076D2">
        <w:rPr>
          <w:rFonts w:cstheme="minorHAnsi"/>
          <w:sz w:val="24"/>
          <w:szCs w:val="24"/>
        </w:rPr>
        <w:t xml:space="preserve">   </w:t>
      </w:r>
      <w:r w:rsidRPr="00B076D2">
        <w:rPr>
          <w:rFonts w:cstheme="minorHAnsi"/>
          <w:sz w:val="24"/>
          <w:szCs w:val="24"/>
        </w:rPr>
        <w:t>[</w:t>
      </w:r>
      <w:proofErr w:type="gramEnd"/>
      <w:r w:rsidR="00097936">
        <w:rPr>
          <w:rFonts w:cstheme="minorHAnsi"/>
          <w:sz w:val="24"/>
          <w:szCs w:val="24"/>
        </w:rPr>
        <w:t>Piacenza</w:t>
      </w:r>
      <w:r w:rsidRPr="00B076D2">
        <w:rPr>
          <w:rFonts w:cstheme="minorHAnsi"/>
          <w:sz w:val="24"/>
          <w:szCs w:val="24"/>
        </w:rPr>
        <w:t>] : [s.n.]</w:t>
      </w:r>
      <w:r w:rsidR="008B6EFF" w:rsidRPr="00B076D2">
        <w:rPr>
          <w:rFonts w:cstheme="minorHAnsi"/>
          <w:sz w:val="24"/>
          <w:szCs w:val="24"/>
        </w:rPr>
        <w:t xml:space="preserve">, [2022]-    </w:t>
      </w:r>
      <w:r w:rsidRPr="00B076D2">
        <w:rPr>
          <w:rFonts w:cstheme="minorHAnsi"/>
          <w:sz w:val="24"/>
          <w:szCs w:val="24"/>
        </w:rPr>
        <w:t xml:space="preserve">. - </w:t>
      </w:r>
      <w:proofErr w:type="gramStart"/>
      <w:r w:rsidRPr="00B076D2">
        <w:rPr>
          <w:rFonts w:cstheme="minorHAnsi"/>
          <w:sz w:val="24"/>
          <w:szCs w:val="24"/>
        </w:rPr>
        <w:t>volumi ;</w:t>
      </w:r>
      <w:proofErr w:type="gramEnd"/>
      <w:r w:rsidRPr="00B076D2">
        <w:rPr>
          <w:rFonts w:cstheme="minorHAnsi"/>
          <w:sz w:val="24"/>
          <w:szCs w:val="24"/>
        </w:rPr>
        <w:t xml:space="preserve"> 30 cm. </w:t>
      </w:r>
      <w:r w:rsidR="008B6EFF" w:rsidRPr="00B076D2">
        <w:rPr>
          <w:rFonts w:cstheme="minorHAnsi"/>
          <w:sz w:val="24"/>
          <w:szCs w:val="24"/>
        </w:rPr>
        <w:t>((</w:t>
      </w:r>
      <w:r w:rsidRPr="00B076D2">
        <w:rPr>
          <w:rFonts w:cstheme="minorHAnsi"/>
          <w:sz w:val="24"/>
          <w:szCs w:val="24"/>
        </w:rPr>
        <w:t>Annuale. - In copertina: Camera di commercio Piacenza; Banca di Piacenza; Università cattolica del Sacro Cuore.</w:t>
      </w:r>
      <w:r w:rsidR="008B6EFF" w:rsidRPr="00B076D2">
        <w:rPr>
          <w:rFonts w:cstheme="minorHAnsi"/>
          <w:sz w:val="24"/>
          <w:szCs w:val="24"/>
        </w:rPr>
        <w:t xml:space="preserve"> - </w:t>
      </w:r>
      <w:r w:rsidR="008B6EFF" w:rsidRPr="00B076D2">
        <w:rPr>
          <w:rFonts w:cstheme="minorHAnsi"/>
          <w:sz w:val="24"/>
          <w:szCs w:val="24"/>
        </w:rPr>
        <w:t>CFI1113041</w:t>
      </w:r>
    </w:p>
    <w:p w14:paraId="41834E4A" w14:textId="4767492B" w:rsidR="00097936" w:rsidRPr="00B076D2" w:rsidRDefault="00097936" w:rsidP="00B076D2">
      <w:pPr>
        <w:spacing w:after="0" w:line="240" w:lineRule="auto"/>
        <w:jc w:val="both"/>
        <w:rPr>
          <w:rFonts w:cstheme="minorHAnsi"/>
          <w:sz w:val="24"/>
          <w:szCs w:val="24"/>
        </w:rPr>
      </w:pPr>
      <w:r>
        <w:rPr>
          <w:rFonts w:cstheme="minorHAnsi"/>
          <w:sz w:val="24"/>
          <w:szCs w:val="24"/>
        </w:rPr>
        <w:t>Fa parte di: *Quaderni LEL</w:t>
      </w:r>
    </w:p>
    <w:p w14:paraId="4B2CE81C" w14:textId="3F345C04" w:rsidR="006C2212" w:rsidRPr="00B076D2" w:rsidRDefault="006C2212" w:rsidP="00B076D2">
      <w:pPr>
        <w:spacing w:after="0" w:line="240" w:lineRule="auto"/>
        <w:jc w:val="both"/>
        <w:rPr>
          <w:rFonts w:eastAsia="Times New Roman" w:cstheme="minorHAnsi"/>
          <w:kern w:val="0"/>
          <w:sz w:val="24"/>
          <w:szCs w:val="24"/>
          <w:u w:val="single"/>
          <w:lang w:eastAsia="it-IT"/>
          <w14:ligatures w14:val="none"/>
        </w:rPr>
      </w:pPr>
      <w:r w:rsidRPr="00B076D2">
        <w:rPr>
          <w:rFonts w:cstheme="minorHAnsi"/>
          <w:sz w:val="24"/>
          <w:szCs w:val="24"/>
        </w:rPr>
        <w:t xml:space="preserve">Autori: </w:t>
      </w:r>
      <w:r w:rsidRPr="00B076D2">
        <w:rPr>
          <w:rFonts w:eastAsia="Times New Roman" w:cstheme="minorHAnsi"/>
          <w:kern w:val="0"/>
          <w:sz w:val="24"/>
          <w:szCs w:val="24"/>
          <w:lang w:eastAsia="it-IT"/>
          <w14:ligatures w14:val="none"/>
        </w:rPr>
        <w:t>Camera di commercio industria artigianato e agricoltura &lt;Piacenza&gt;</w:t>
      </w:r>
      <w:r w:rsidRPr="00B076D2">
        <w:rPr>
          <w:rFonts w:eastAsia="Times New Roman" w:cstheme="minorHAnsi"/>
          <w:kern w:val="0"/>
          <w:sz w:val="24"/>
          <w:szCs w:val="24"/>
          <w:lang w:eastAsia="it-IT"/>
          <w14:ligatures w14:val="none"/>
        </w:rPr>
        <w:t xml:space="preserve">; </w:t>
      </w:r>
      <w:hyperlink r:id="rId5" w:tgtFrame="_self" w:history="1">
        <w:r w:rsidRPr="006C2212">
          <w:rPr>
            <w:rFonts w:eastAsia="Times New Roman" w:cstheme="minorHAnsi"/>
            <w:kern w:val="0"/>
            <w:sz w:val="24"/>
            <w:szCs w:val="24"/>
            <w:lang w:eastAsia="it-IT"/>
            <w14:ligatures w14:val="none"/>
          </w:rPr>
          <w:t xml:space="preserve">Università cattolica del Sacro Cuore &lt;Piacenza&gt; </w:t>
        </w:r>
      </w:hyperlink>
      <w:r w:rsidRPr="00B076D2">
        <w:rPr>
          <w:rFonts w:eastAsia="Times New Roman" w:cstheme="minorHAnsi"/>
          <w:kern w:val="0"/>
          <w:sz w:val="24"/>
          <w:szCs w:val="24"/>
          <w:lang w:eastAsia="it-IT"/>
          <w14:ligatures w14:val="none"/>
        </w:rPr>
        <w:t xml:space="preserve">; </w:t>
      </w:r>
      <w:r w:rsidRPr="006C2212">
        <w:rPr>
          <w:rFonts w:eastAsia="Times New Roman" w:cstheme="minorHAnsi"/>
          <w:kern w:val="0"/>
          <w:sz w:val="24"/>
          <w:szCs w:val="24"/>
          <w:lang w:eastAsia="it-IT"/>
          <w14:ligatures w14:val="none"/>
        </w:rPr>
        <w:t>Banca di Piacenza</w:t>
      </w:r>
      <w:r w:rsidRPr="006C2212">
        <w:rPr>
          <w:rFonts w:eastAsia="Times New Roman" w:cstheme="minorHAnsi"/>
          <w:kern w:val="0"/>
          <w:sz w:val="24"/>
          <w:szCs w:val="24"/>
          <w:u w:val="single"/>
          <w:lang w:eastAsia="it-IT"/>
          <w14:ligatures w14:val="none"/>
        </w:rPr>
        <w:t xml:space="preserve"> </w:t>
      </w:r>
    </w:p>
    <w:p w14:paraId="5A13147F" w14:textId="517C4311" w:rsidR="00B076D2" w:rsidRDefault="00B076D2" w:rsidP="00B076D2">
      <w:pPr>
        <w:spacing w:after="0" w:line="240" w:lineRule="auto"/>
        <w:jc w:val="both"/>
        <w:rPr>
          <w:rFonts w:eastAsia="Times New Roman" w:cstheme="minorHAnsi"/>
          <w:kern w:val="0"/>
          <w:sz w:val="24"/>
          <w:szCs w:val="24"/>
          <w:lang w:eastAsia="it-IT"/>
          <w14:ligatures w14:val="none"/>
        </w:rPr>
      </w:pPr>
      <w:r w:rsidRPr="00B076D2">
        <w:rPr>
          <w:rFonts w:eastAsia="Times New Roman" w:cstheme="minorHAnsi"/>
          <w:kern w:val="0"/>
          <w:sz w:val="24"/>
          <w:szCs w:val="24"/>
          <w:lang w:eastAsia="it-IT"/>
          <w14:ligatures w14:val="none"/>
        </w:rPr>
        <w:t>Soggetto: Economia – Piacenza &lt;prov.&gt; - Periodici</w:t>
      </w:r>
    </w:p>
    <w:p w14:paraId="1E8DD424" w14:textId="77777777" w:rsidR="00B076D2" w:rsidRPr="00B076D2" w:rsidRDefault="00B076D2" w:rsidP="00B076D2">
      <w:pPr>
        <w:spacing w:after="0" w:line="240" w:lineRule="auto"/>
        <w:jc w:val="both"/>
        <w:rPr>
          <w:rFonts w:eastAsia="Times New Roman" w:cstheme="minorHAnsi"/>
          <w:kern w:val="0"/>
          <w:sz w:val="24"/>
          <w:szCs w:val="24"/>
          <w:lang w:eastAsia="it-IT"/>
          <w14:ligatures w14:val="none"/>
        </w:rPr>
      </w:pPr>
    </w:p>
    <w:p w14:paraId="6CAFA717" w14:textId="77777777" w:rsidR="008B6EFF" w:rsidRPr="00B076D2" w:rsidRDefault="008B6EFF" w:rsidP="00B076D2">
      <w:pPr>
        <w:spacing w:after="0" w:line="240" w:lineRule="auto"/>
        <w:jc w:val="both"/>
        <w:rPr>
          <w:rFonts w:cstheme="minorHAnsi"/>
          <w:b/>
          <w:bCs/>
          <w:color w:val="C00000"/>
          <w:sz w:val="44"/>
          <w:szCs w:val="44"/>
        </w:rPr>
      </w:pPr>
      <w:r w:rsidRPr="00B076D2">
        <w:rPr>
          <w:rFonts w:cstheme="minorHAnsi"/>
          <w:b/>
          <w:bCs/>
          <w:color w:val="C00000"/>
          <w:sz w:val="44"/>
          <w:szCs w:val="44"/>
        </w:rPr>
        <w:t>Informazioni storico-bibliografiche</w:t>
      </w:r>
    </w:p>
    <w:p w14:paraId="4C1470CE" w14:textId="77777777" w:rsidR="008B6EFF" w:rsidRPr="008B6EFF" w:rsidRDefault="008B6EFF" w:rsidP="00B076D2">
      <w:pPr>
        <w:spacing w:after="0" w:line="240" w:lineRule="auto"/>
        <w:jc w:val="both"/>
        <w:outlineLvl w:val="1"/>
        <w:rPr>
          <w:rFonts w:eastAsia="Times New Roman" w:cstheme="minorHAnsi"/>
          <w:b/>
          <w:bCs/>
          <w:kern w:val="0"/>
          <w:sz w:val="17"/>
          <w:szCs w:val="17"/>
          <w:lang w:eastAsia="it-IT"/>
          <w14:ligatures w14:val="none"/>
        </w:rPr>
      </w:pPr>
      <w:r w:rsidRPr="008B6EFF">
        <w:rPr>
          <w:rFonts w:eastAsia="Times New Roman" w:cstheme="minorHAnsi"/>
          <w:b/>
          <w:bCs/>
          <w:kern w:val="0"/>
          <w:sz w:val="17"/>
          <w:szCs w:val="17"/>
          <w:lang w:eastAsia="it-IT"/>
          <w14:ligatures w14:val="none"/>
        </w:rPr>
        <w:t xml:space="preserve">Il sistema economico piacentino </w:t>
      </w:r>
    </w:p>
    <w:p w14:paraId="21F28E32" w14:textId="77777777" w:rsidR="00B076D2" w:rsidRPr="00097936" w:rsidRDefault="008B6EFF" w:rsidP="00B076D2">
      <w:pPr>
        <w:spacing w:after="0" w:line="240" w:lineRule="auto"/>
        <w:jc w:val="both"/>
        <w:rPr>
          <w:rFonts w:eastAsia="Times New Roman" w:cstheme="minorHAnsi"/>
          <w:i/>
          <w:iCs/>
          <w:kern w:val="0"/>
          <w:sz w:val="17"/>
          <w:szCs w:val="17"/>
          <w:lang w:eastAsia="it-IT"/>
          <w14:ligatures w14:val="none"/>
        </w:rPr>
      </w:pPr>
      <w:r w:rsidRPr="008B6EFF">
        <w:rPr>
          <w:rFonts w:eastAsia="Times New Roman" w:cstheme="minorHAnsi"/>
          <w:i/>
          <w:iCs/>
          <w:kern w:val="0"/>
          <w:sz w:val="17"/>
          <w:szCs w:val="17"/>
          <w:lang w:eastAsia="it-IT"/>
          <w14:ligatures w14:val="none"/>
        </w:rPr>
        <w:t>In collaborazione con Banca di Piacenza (2021-2023)</w:t>
      </w:r>
    </w:p>
    <w:p w14:paraId="0BAE6553" w14:textId="77777777" w:rsidR="00097936" w:rsidRDefault="008B6EFF" w:rsidP="00B076D2">
      <w:pPr>
        <w:spacing w:after="0" w:line="240" w:lineRule="auto"/>
        <w:jc w:val="both"/>
        <w:rPr>
          <w:rFonts w:eastAsia="Times New Roman" w:cstheme="minorHAnsi"/>
          <w:kern w:val="0"/>
          <w:sz w:val="17"/>
          <w:szCs w:val="17"/>
          <w:lang w:eastAsia="it-IT"/>
          <w14:ligatures w14:val="none"/>
        </w:rPr>
      </w:pPr>
      <w:r w:rsidRPr="008B6EFF">
        <w:rPr>
          <w:rFonts w:eastAsia="Times New Roman" w:cstheme="minorHAnsi"/>
          <w:kern w:val="0"/>
          <w:sz w:val="17"/>
          <w:szCs w:val="17"/>
          <w:lang w:eastAsia="it-IT"/>
          <w14:ligatures w14:val="none"/>
        </w:rPr>
        <w:t xml:space="preserve">Nonostante la pubblicazione negli ultimi decenni di molti studi di contenuto economico e sociale e della rivista semestrale online </w:t>
      </w:r>
      <w:proofErr w:type="spellStart"/>
      <w:r w:rsidRPr="008B6EFF">
        <w:rPr>
          <w:rFonts w:eastAsia="Times New Roman" w:cstheme="minorHAnsi"/>
          <w:kern w:val="0"/>
          <w:sz w:val="17"/>
          <w:szCs w:val="17"/>
          <w:lang w:eastAsia="it-IT"/>
          <w14:ligatures w14:val="none"/>
        </w:rPr>
        <w:t>Piacenz</w:t>
      </w:r>
      <w:proofErr w:type="spellEnd"/>
      <w:r w:rsidRPr="008B6EFF">
        <w:rPr>
          <w:rFonts w:eastAsia="Times New Roman" w:cstheme="minorHAnsi"/>
          <w:kern w:val="0"/>
          <w:sz w:val="17"/>
          <w:szCs w:val="17"/>
          <w:lang w:eastAsia="it-IT"/>
          <w14:ligatures w14:val="none"/>
        </w:rPr>
        <w:t>@ Economia, lavoro e società, a cura di Camera di commercio, Provincia di Piacenza e Università Cattolica, manca a livello locale un report annuale di lettura interpretativa dei dati statistici ed un momento di confronto pubblico sulle principali tendenze in atto e sulle priorità di intervento in termini di sviluppo economico.</w:t>
      </w:r>
      <w:r w:rsidR="00B076D2" w:rsidRPr="00097936">
        <w:rPr>
          <w:rFonts w:eastAsia="Times New Roman" w:cstheme="minorHAnsi"/>
          <w:kern w:val="0"/>
          <w:sz w:val="17"/>
          <w:szCs w:val="17"/>
          <w:lang w:eastAsia="it-IT"/>
          <w14:ligatures w14:val="none"/>
        </w:rPr>
        <w:t xml:space="preserve"> </w:t>
      </w:r>
      <w:r w:rsidRPr="008B6EFF">
        <w:rPr>
          <w:rFonts w:eastAsia="Times New Roman" w:cstheme="minorHAnsi"/>
          <w:kern w:val="0"/>
          <w:sz w:val="17"/>
          <w:szCs w:val="17"/>
          <w:lang w:eastAsia="it-IT"/>
          <w14:ligatures w14:val="none"/>
        </w:rPr>
        <w:t>L’obiettivo del lavoro (2021-2023) è duplice: da un lato realizzare un rapporto annuale sull’economica locale, che non sia solo una pubblicazione di statistiche socioeconomiche ma anche una lettura interpretativa sui sentieri di sviluppo in atto; dall’altro lato organizzare e partecipare ad un convegno annuale sull’economia locale e a momenti seminariali con operatori economici e culturali del territorio</w:t>
      </w:r>
    </w:p>
    <w:p w14:paraId="09DC1BEA" w14:textId="3C71DE38" w:rsidR="00097936" w:rsidRPr="00097936" w:rsidRDefault="008B6EFF" w:rsidP="00B076D2">
      <w:pPr>
        <w:spacing w:after="0" w:line="240" w:lineRule="auto"/>
        <w:jc w:val="both"/>
        <w:rPr>
          <w:rFonts w:eastAsia="Times New Roman" w:cstheme="minorHAnsi"/>
          <w:kern w:val="0"/>
          <w:sz w:val="17"/>
          <w:szCs w:val="17"/>
          <w:lang w:eastAsia="it-IT"/>
          <w14:ligatures w14:val="none"/>
        </w:rPr>
      </w:pPr>
      <w:r w:rsidRPr="008B6EFF">
        <w:rPr>
          <w:rFonts w:eastAsia="Times New Roman" w:cstheme="minorHAnsi"/>
          <w:b/>
          <w:bCs/>
          <w:kern w:val="0"/>
          <w:sz w:val="17"/>
          <w:szCs w:val="17"/>
          <w:lang w:eastAsia="it-IT"/>
          <w14:ligatures w14:val="none"/>
        </w:rPr>
        <w:t xml:space="preserve">CONTENUTI E METODOLOGIA DEL </w:t>
      </w:r>
      <w:proofErr w:type="gramStart"/>
      <w:r w:rsidRPr="008B6EFF">
        <w:rPr>
          <w:rFonts w:eastAsia="Times New Roman" w:cstheme="minorHAnsi"/>
          <w:b/>
          <w:bCs/>
          <w:kern w:val="0"/>
          <w:sz w:val="17"/>
          <w:szCs w:val="17"/>
          <w:lang w:eastAsia="it-IT"/>
          <w14:ligatures w14:val="none"/>
        </w:rPr>
        <w:t>PROGETTO</w:t>
      </w:r>
      <w:proofErr w:type="gramEnd"/>
      <w:r w:rsidR="00B076D2" w:rsidRPr="00097936">
        <w:rPr>
          <w:rFonts w:eastAsia="Times New Roman" w:cstheme="minorHAnsi"/>
          <w:kern w:val="0"/>
          <w:sz w:val="17"/>
          <w:szCs w:val="17"/>
          <w:lang w:eastAsia="it-IT"/>
          <w14:ligatures w14:val="none"/>
        </w:rPr>
        <w:t xml:space="preserve"> </w:t>
      </w:r>
      <w:r w:rsidRPr="008B6EFF">
        <w:rPr>
          <w:rFonts w:eastAsia="Times New Roman" w:cstheme="minorHAnsi"/>
          <w:kern w:val="0"/>
          <w:sz w:val="17"/>
          <w:szCs w:val="17"/>
          <w:lang w:eastAsia="it-IT"/>
          <w14:ligatures w14:val="none"/>
        </w:rPr>
        <w:t>Il supporto tecnico-scientifico offerto dal LEL si articola in quattro momenti, non necessariamente sequenziali:</w:t>
      </w:r>
    </w:p>
    <w:p w14:paraId="4738745D" w14:textId="39DB69AB" w:rsidR="008B6EFF" w:rsidRPr="008B6EFF" w:rsidRDefault="008B6EFF" w:rsidP="00B076D2">
      <w:pPr>
        <w:spacing w:after="0" w:line="240" w:lineRule="auto"/>
        <w:jc w:val="both"/>
        <w:rPr>
          <w:rFonts w:eastAsia="Times New Roman" w:cstheme="minorHAnsi"/>
          <w:kern w:val="0"/>
          <w:sz w:val="17"/>
          <w:szCs w:val="17"/>
          <w:lang w:eastAsia="it-IT"/>
          <w14:ligatures w14:val="none"/>
        </w:rPr>
      </w:pPr>
      <w:r w:rsidRPr="008B6EFF">
        <w:rPr>
          <w:rFonts w:eastAsia="Times New Roman" w:cstheme="minorHAnsi"/>
          <w:b/>
          <w:bCs/>
          <w:kern w:val="0"/>
          <w:sz w:val="17"/>
          <w:szCs w:val="17"/>
          <w:lang w:eastAsia="it-IT"/>
          <w14:ligatures w14:val="none"/>
        </w:rPr>
        <w:t xml:space="preserve">1. Raccolta ed elaborazione dati statistici sul sistema </w:t>
      </w:r>
      <w:proofErr w:type="gramStart"/>
      <w:r w:rsidRPr="008B6EFF">
        <w:rPr>
          <w:rFonts w:eastAsia="Times New Roman" w:cstheme="minorHAnsi"/>
          <w:b/>
          <w:bCs/>
          <w:kern w:val="0"/>
          <w:sz w:val="17"/>
          <w:szCs w:val="17"/>
          <w:lang w:eastAsia="it-IT"/>
          <w14:ligatures w14:val="none"/>
        </w:rPr>
        <w:t>socio-economico</w:t>
      </w:r>
      <w:proofErr w:type="gramEnd"/>
      <w:r w:rsidRPr="008B6EFF">
        <w:rPr>
          <w:rFonts w:eastAsia="Times New Roman" w:cstheme="minorHAnsi"/>
          <w:b/>
          <w:bCs/>
          <w:kern w:val="0"/>
          <w:sz w:val="17"/>
          <w:szCs w:val="17"/>
          <w:lang w:eastAsia="it-IT"/>
          <w14:ligatures w14:val="none"/>
        </w:rPr>
        <w:t xml:space="preserve"> piacentino</w:t>
      </w:r>
      <w:r w:rsidR="00B076D2" w:rsidRPr="00097936">
        <w:rPr>
          <w:rFonts w:eastAsia="Times New Roman" w:cstheme="minorHAnsi"/>
          <w:kern w:val="0"/>
          <w:sz w:val="17"/>
          <w:szCs w:val="17"/>
          <w:lang w:eastAsia="it-IT"/>
          <w14:ligatures w14:val="none"/>
        </w:rPr>
        <w:t xml:space="preserve"> </w:t>
      </w:r>
      <w:r w:rsidRPr="008B6EFF">
        <w:rPr>
          <w:rFonts w:eastAsia="Times New Roman" w:cstheme="minorHAnsi"/>
          <w:kern w:val="0"/>
          <w:sz w:val="17"/>
          <w:szCs w:val="17"/>
          <w:lang w:eastAsia="it-IT"/>
          <w14:ligatures w14:val="none"/>
        </w:rPr>
        <w:t xml:space="preserve">In tale attività, i ricercatori del </w:t>
      </w:r>
      <w:proofErr w:type="spellStart"/>
      <w:r w:rsidRPr="008B6EFF">
        <w:rPr>
          <w:rFonts w:eastAsia="Times New Roman" w:cstheme="minorHAnsi"/>
          <w:kern w:val="0"/>
          <w:sz w:val="17"/>
          <w:szCs w:val="17"/>
          <w:lang w:eastAsia="it-IT"/>
          <w14:ligatures w14:val="none"/>
        </w:rPr>
        <w:t>Lel</w:t>
      </w:r>
      <w:proofErr w:type="spellEnd"/>
      <w:r w:rsidRPr="008B6EFF">
        <w:rPr>
          <w:rFonts w:eastAsia="Times New Roman" w:cstheme="minorHAnsi"/>
          <w:kern w:val="0"/>
          <w:sz w:val="17"/>
          <w:szCs w:val="17"/>
          <w:lang w:eastAsia="it-IT"/>
          <w14:ligatures w14:val="none"/>
        </w:rPr>
        <w:t xml:space="preserve"> elaboreranno i dati annuali provinciali e del comune capoluogo relativi alle seguenti aree tematiche:</w:t>
      </w:r>
    </w:p>
    <w:p w14:paraId="5BD4F258" w14:textId="77777777" w:rsidR="008B6EFF" w:rsidRPr="008B6EFF" w:rsidRDefault="008B6EFF" w:rsidP="00B076D2">
      <w:pPr>
        <w:numPr>
          <w:ilvl w:val="0"/>
          <w:numId w:val="2"/>
        </w:numPr>
        <w:spacing w:after="0" w:line="240" w:lineRule="auto"/>
        <w:jc w:val="both"/>
        <w:rPr>
          <w:rFonts w:eastAsia="Times New Roman" w:cstheme="minorHAnsi"/>
          <w:kern w:val="0"/>
          <w:sz w:val="17"/>
          <w:szCs w:val="17"/>
          <w:lang w:eastAsia="it-IT"/>
          <w14:ligatures w14:val="none"/>
        </w:rPr>
      </w:pPr>
      <w:r w:rsidRPr="008B6EFF">
        <w:rPr>
          <w:rFonts w:eastAsia="Times New Roman" w:cstheme="minorHAnsi"/>
          <w:kern w:val="0"/>
          <w:sz w:val="17"/>
          <w:szCs w:val="17"/>
          <w:lang w:eastAsia="it-IT"/>
          <w14:ligatures w14:val="none"/>
        </w:rPr>
        <w:t> demografia: struttura e dinamica della popolazione</w:t>
      </w:r>
    </w:p>
    <w:p w14:paraId="1361FCA7" w14:textId="77777777" w:rsidR="008B6EFF" w:rsidRPr="008B6EFF" w:rsidRDefault="008B6EFF" w:rsidP="00B076D2">
      <w:pPr>
        <w:numPr>
          <w:ilvl w:val="0"/>
          <w:numId w:val="2"/>
        </w:numPr>
        <w:spacing w:after="0" w:line="240" w:lineRule="auto"/>
        <w:jc w:val="both"/>
        <w:rPr>
          <w:rFonts w:eastAsia="Times New Roman" w:cstheme="minorHAnsi"/>
          <w:kern w:val="0"/>
          <w:sz w:val="17"/>
          <w:szCs w:val="17"/>
          <w:lang w:eastAsia="it-IT"/>
          <w14:ligatures w14:val="none"/>
        </w:rPr>
      </w:pPr>
      <w:r w:rsidRPr="008B6EFF">
        <w:rPr>
          <w:rFonts w:eastAsia="Times New Roman" w:cstheme="minorHAnsi"/>
          <w:kern w:val="0"/>
          <w:sz w:val="17"/>
          <w:szCs w:val="17"/>
          <w:lang w:eastAsia="it-IT"/>
          <w14:ligatures w14:val="none"/>
        </w:rPr>
        <w:t> produzione: struttura e dinamica dei principali settori economici</w:t>
      </w:r>
    </w:p>
    <w:p w14:paraId="31264E9D" w14:textId="77777777" w:rsidR="008B6EFF" w:rsidRPr="008B6EFF" w:rsidRDefault="008B6EFF" w:rsidP="00B076D2">
      <w:pPr>
        <w:numPr>
          <w:ilvl w:val="0"/>
          <w:numId w:val="2"/>
        </w:numPr>
        <w:spacing w:after="0" w:line="240" w:lineRule="auto"/>
        <w:jc w:val="both"/>
        <w:rPr>
          <w:rFonts w:eastAsia="Times New Roman" w:cstheme="minorHAnsi"/>
          <w:kern w:val="0"/>
          <w:sz w:val="17"/>
          <w:szCs w:val="17"/>
          <w:lang w:eastAsia="it-IT"/>
          <w14:ligatures w14:val="none"/>
        </w:rPr>
      </w:pPr>
      <w:r w:rsidRPr="008B6EFF">
        <w:rPr>
          <w:rFonts w:eastAsia="Times New Roman" w:cstheme="minorHAnsi"/>
          <w:kern w:val="0"/>
          <w:sz w:val="17"/>
          <w:szCs w:val="17"/>
          <w:lang w:eastAsia="it-IT"/>
          <w14:ligatures w14:val="none"/>
        </w:rPr>
        <w:t> imprenditorialità: struttura e dinamica delle imprese</w:t>
      </w:r>
    </w:p>
    <w:p w14:paraId="25A29C80" w14:textId="77777777" w:rsidR="008B6EFF" w:rsidRPr="008B6EFF" w:rsidRDefault="008B6EFF" w:rsidP="00B076D2">
      <w:pPr>
        <w:numPr>
          <w:ilvl w:val="0"/>
          <w:numId w:val="2"/>
        </w:numPr>
        <w:spacing w:after="0" w:line="240" w:lineRule="auto"/>
        <w:jc w:val="both"/>
        <w:rPr>
          <w:rFonts w:eastAsia="Times New Roman" w:cstheme="minorHAnsi"/>
          <w:kern w:val="0"/>
          <w:sz w:val="17"/>
          <w:szCs w:val="17"/>
          <w:lang w:eastAsia="it-IT"/>
          <w14:ligatures w14:val="none"/>
        </w:rPr>
      </w:pPr>
      <w:r w:rsidRPr="008B6EFF">
        <w:rPr>
          <w:rFonts w:eastAsia="Times New Roman" w:cstheme="minorHAnsi"/>
          <w:kern w:val="0"/>
          <w:sz w:val="17"/>
          <w:szCs w:val="17"/>
          <w:lang w:eastAsia="it-IT"/>
          <w14:ligatures w14:val="none"/>
        </w:rPr>
        <w:t> sistema del credito: dinamica di depositi e impieghi</w:t>
      </w:r>
    </w:p>
    <w:p w14:paraId="6A5AAE91" w14:textId="77777777" w:rsidR="008B6EFF" w:rsidRPr="008B6EFF" w:rsidRDefault="008B6EFF" w:rsidP="00B076D2">
      <w:pPr>
        <w:numPr>
          <w:ilvl w:val="0"/>
          <w:numId w:val="2"/>
        </w:numPr>
        <w:spacing w:after="0" w:line="240" w:lineRule="auto"/>
        <w:jc w:val="both"/>
        <w:rPr>
          <w:rFonts w:eastAsia="Times New Roman" w:cstheme="minorHAnsi"/>
          <w:kern w:val="0"/>
          <w:sz w:val="17"/>
          <w:szCs w:val="17"/>
          <w:lang w:eastAsia="it-IT"/>
          <w14:ligatures w14:val="none"/>
        </w:rPr>
      </w:pPr>
      <w:r w:rsidRPr="008B6EFF">
        <w:rPr>
          <w:rFonts w:eastAsia="Times New Roman" w:cstheme="minorHAnsi"/>
          <w:kern w:val="0"/>
          <w:sz w:val="17"/>
          <w:szCs w:val="17"/>
          <w:lang w:eastAsia="it-IT"/>
          <w14:ligatures w14:val="none"/>
        </w:rPr>
        <w:t> mercato del lavoro: dinamica di occupati e disoccupati</w:t>
      </w:r>
    </w:p>
    <w:p w14:paraId="33E7E93D" w14:textId="77777777" w:rsidR="008B6EFF" w:rsidRPr="008B6EFF" w:rsidRDefault="008B6EFF" w:rsidP="00B076D2">
      <w:pPr>
        <w:numPr>
          <w:ilvl w:val="0"/>
          <w:numId w:val="2"/>
        </w:numPr>
        <w:spacing w:after="0" w:line="240" w:lineRule="auto"/>
        <w:jc w:val="both"/>
        <w:rPr>
          <w:rFonts w:eastAsia="Times New Roman" w:cstheme="minorHAnsi"/>
          <w:kern w:val="0"/>
          <w:sz w:val="17"/>
          <w:szCs w:val="17"/>
          <w:lang w:eastAsia="it-IT"/>
          <w14:ligatures w14:val="none"/>
        </w:rPr>
      </w:pPr>
      <w:r w:rsidRPr="008B6EFF">
        <w:rPr>
          <w:rFonts w:eastAsia="Times New Roman" w:cstheme="minorHAnsi"/>
          <w:kern w:val="0"/>
          <w:sz w:val="17"/>
          <w:szCs w:val="17"/>
          <w:lang w:eastAsia="it-IT"/>
          <w14:ligatures w14:val="none"/>
        </w:rPr>
        <w:t xml:space="preserve"> sistema territoriale-ambientale: ecologia </w:t>
      </w:r>
      <w:proofErr w:type="gramStart"/>
      <w:r w:rsidRPr="008B6EFF">
        <w:rPr>
          <w:rFonts w:eastAsia="Times New Roman" w:cstheme="minorHAnsi"/>
          <w:kern w:val="0"/>
          <w:sz w:val="17"/>
          <w:szCs w:val="17"/>
          <w:lang w:eastAsia="it-IT"/>
          <w14:ligatures w14:val="none"/>
        </w:rPr>
        <w:t>e</w:t>
      </w:r>
      <w:proofErr w:type="gramEnd"/>
      <w:r w:rsidRPr="008B6EFF">
        <w:rPr>
          <w:rFonts w:eastAsia="Times New Roman" w:cstheme="minorHAnsi"/>
          <w:kern w:val="0"/>
          <w:sz w:val="17"/>
          <w:szCs w:val="17"/>
          <w:lang w:eastAsia="it-IT"/>
          <w14:ligatures w14:val="none"/>
        </w:rPr>
        <w:t xml:space="preserve"> emissioni</w:t>
      </w:r>
    </w:p>
    <w:p w14:paraId="6A2B9E09" w14:textId="77777777" w:rsidR="00097936" w:rsidRPr="00097936" w:rsidRDefault="008B6EFF" w:rsidP="00B076D2">
      <w:pPr>
        <w:spacing w:after="0" w:line="240" w:lineRule="auto"/>
        <w:jc w:val="both"/>
        <w:rPr>
          <w:rFonts w:eastAsia="Times New Roman" w:cstheme="minorHAnsi"/>
          <w:kern w:val="0"/>
          <w:sz w:val="17"/>
          <w:szCs w:val="17"/>
          <w:lang w:eastAsia="it-IT"/>
          <w14:ligatures w14:val="none"/>
        </w:rPr>
      </w:pPr>
      <w:r w:rsidRPr="008B6EFF">
        <w:rPr>
          <w:rFonts w:eastAsia="Times New Roman" w:cstheme="minorHAnsi"/>
          <w:kern w:val="0"/>
          <w:sz w:val="17"/>
          <w:szCs w:val="17"/>
          <w:lang w:eastAsia="it-IT"/>
          <w14:ligatures w14:val="none"/>
        </w:rPr>
        <w:t xml:space="preserve">Le fonti utilizzate saranno enti statistici come Istat, Unioncamere, Banca d’Italia, Arpa, etc. a cui saranno affiancati rilevazioni qualitative dirette per ottenere l’aggiornamento dei dati raccolti anche nell’anno in corso della pubblicazione del rapporto, a partire dai rapporti di Associazioni di Categoria locali come Confindustria, Confapi, Confartigianato, </w:t>
      </w:r>
      <w:proofErr w:type="spellStart"/>
      <w:r w:rsidRPr="008B6EFF">
        <w:rPr>
          <w:rFonts w:eastAsia="Times New Roman" w:cstheme="minorHAnsi"/>
          <w:kern w:val="0"/>
          <w:sz w:val="17"/>
          <w:szCs w:val="17"/>
          <w:lang w:eastAsia="it-IT"/>
          <w14:ligatures w14:val="none"/>
        </w:rPr>
        <w:t>Fiaip</w:t>
      </w:r>
      <w:proofErr w:type="spellEnd"/>
      <w:r w:rsidRPr="008B6EFF">
        <w:rPr>
          <w:rFonts w:eastAsia="Times New Roman" w:cstheme="minorHAnsi"/>
          <w:kern w:val="0"/>
          <w:sz w:val="17"/>
          <w:szCs w:val="17"/>
          <w:lang w:eastAsia="it-IT"/>
          <w14:ligatures w14:val="none"/>
        </w:rPr>
        <w:t xml:space="preserve">, </w:t>
      </w:r>
      <w:proofErr w:type="spellStart"/>
      <w:r w:rsidRPr="008B6EFF">
        <w:rPr>
          <w:rFonts w:eastAsia="Times New Roman" w:cstheme="minorHAnsi"/>
          <w:kern w:val="0"/>
          <w:sz w:val="17"/>
          <w:szCs w:val="17"/>
          <w:lang w:eastAsia="it-IT"/>
          <w14:ligatures w14:val="none"/>
        </w:rPr>
        <w:t>etc</w:t>
      </w:r>
      <w:proofErr w:type="spellEnd"/>
      <w:r w:rsidRPr="008B6EFF">
        <w:rPr>
          <w:rFonts w:eastAsia="Times New Roman" w:cstheme="minorHAnsi"/>
          <w:kern w:val="0"/>
          <w:sz w:val="17"/>
          <w:szCs w:val="17"/>
          <w:lang w:eastAsia="it-IT"/>
          <w14:ligatures w14:val="none"/>
        </w:rPr>
        <w:t>, o centri di ricerca nazionali come Scenari immobiliari, Prometeia, Nomisma.</w:t>
      </w:r>
    </w:p>
    <w:p w14:paraId="56AFA993" w14:textId="265AACAB" w:rsidR="00097936" w:rsidRPr="00097936" w:rsidRDefault="008B6EFF" w:rsidP="00B076D2">
      <w:pPr>
        <w:spacing w:after="0" w:line="240" w:lineRule="auto"/>
        <w:jc w:val="both"/>
        <w:rPr>
          <w:rFonts w:eastAsia="Times New Roman" w:cstheme="minorHAnsi"/>
          <w:kern w:val="0"/>
          <w:sz w:val="17"/>
          <w:szCs w:val="17"/>
          <w:lang w:eastAsia="it-IT"/>
          <w14:ligatures w14:val="none"/>
        </w:rPr>
      </w:pPr>
      <w:r w:rsidRPr="008B6EFF">
        <w:rPr>
          <w:rFonts w:eastAsia="Times New Roman" w:cstheme="minorHAnsi"/>
          <w:b/>
          <w:bCs/>
          <w:kern w:val="0"/>
          <w:sz w:val="17"/>
          <w:szCs w:val="17"/>
          <w:lang w:eastAsia="it-IT"/>
          <w14:ligatures w14:val="none"/>
        </w:rPr>
        <w:t>2</w:t>
      </w:r>
      <w:r w:rsidRPr="008B6EFF">
        <w:rPr>
          <w:rFonts w:eastAsia="Times New Roman" w:cstheme="minorHAnsi"/>
          <w:kern w:val="0"/>
          <w:sz w:val="17"/>
          <w:szCs w:val="17"/>
          <w:lang w:eastAsia="it-IT"/>
          <w14:ligatures w14:val="none"/>
        </w:rPr>
        <w:t>.</w:t>
      </w:r>
      <w:r w:rsidRPr="008B6EFF">
        <w:rPr>
          <w:rFonts w:eastAsia="Times New Roman" w:cstheme="minorHAnsi"/>
          <w:b/>
          <w:bCs/>
          <w:kern w:val="0"/>
          <w:sz w:val="17"/>
          <w:szCs w:val="17"/>
          <w:lang w:eastAsia="it-IT"/>
          <w14:ligatures w14:val="none"/>
        </w:rPr>
        <w:t> Focus-group settoriali</w:t>
      </w:r>
      <w:r w:rsidR="00B076D2" w:rsidRPr="00097936">
        <w:rPr>
          <w:rFonts w:eastAsia="Times New Roman" w:cstheme="minorHAnsi"/>
          <w:kern w:val="0"/>
          <w:sz w:val="17"/>
          <w:szCs w:val="17"/>
          <w:lang w:eastAsia="it-IT"/>
          <w14:ligatures w14:val="none"/>
        </w:rPr>
        <w:t xml:space="preserve"> </w:t>
      </w:r>
      <w:r w:rsidRPr="008B6EFF">
        <w:rPr>
          <w:rFonts w:eastAsia="Times New Roman" w:cstheme="minorHAnsi"/>
          <w:kern w:val="0"/>
          <w:sz w:val="17"/>
          <w:szCs w:val="17"/>
          <w:lang w:eastAsia="it-IT"/>
          <w14:ligatures w14:val="none"/>
        </w:rPr>
        <w:t xml:space="preserve">Come possibile integrazione all’analisi degli aspetti socioeconomici territoriali, si propone l’organizzazione di focus-group specifici per i diversi settori produttivi locali (in prima battuta industria meccanica, industria agroalimentare, logistica, credito, commercio, servizi alle imprese, servizi alla persona). In tali incontri (almeno uno per settore economico), oltre ad un esperto nazionale il cui contributo sarà quello di offrire </w:t>
      </w:r>
      <w:proofErr w:type="gramStart"/>
      <w:r w:rsidRPr="008B6EFF">
        <w:rPr>
          <w:rFonts w:eastAsia="Times New Roman" w:cstheme="minorHAnsi"/>
          <w:kern w:val="0"/>
          <w:sz w:val="17"/>
          <w:szCs w:val="17"/>
          <w:lang w:eastAsia="it-IT"/>
          <w14:ligatures w14:val="none"/>
        </w:rPr>
        <w:t>trend</w:t>
      </w:r>
      <w:proofErr w:type="gramEnd"/>
      <w:r w:rsidRPr="008B6EFF">
        <w:rPr>
          <w:rFonts w:eastAsia="Times New Roman" w:cstheme="minorHAnsi"/>
          <w:kern w:val="0"/>
          <w:sz w:val="17"/>
          <w:szCs w:val="17"/>
          <w:lang w:eastAsia="it-IT"/>
          <w14:ligatures w14:val="none"/>
        </w:rPr>
        <w:t xml:space="preserve"> di livello sovra-provinciale, saranno invitati alcuni imprenditori o manager del settore analizzato, anche per ottenere informazioni più aggiornate rispetto ai dati statistici che rivelano di solito ritardi almeno semestrali. In questo caso i dati quantitativi del punto 2.1, saranno integrati con dati qualitativi, di valutazione soggettiva e previsione.</w:t>
      </w:r>
    </w:p>
    <w:p w14:paraId="29DDA83D" w14:textId="77777777" w:rsidR="00097936" w:rsidRPr="00097936" w:rsidRDefault="008B6EFF" w:rsidP="00B076D2">
      <w:pPr>
        <w:spacing w:after="0" w:line="240" w:lineRule="auto"/>
        <w:jc w:val="both"/>
        <w:rPr>
          <w:rFonts w:eastAsia="Times New Roman" w:cstheme="minorHAnsi"/>
          <w:kern w:val="0"/>
          <w:sz w:val="17"/>
          <w:szCs w:val="17"/>
          <w:lang w:eastAsia="it-IT"/>
          <w14:ligatures w14:val="none"/>
        </w:rPr>
      </w:pPr>
      <w:r w:rsidRPr="008B6EFF">
        <w:rPr>
          <w:rFonts w:eastAsia="Times New Roman" w:cstheme="minorHAnsi"/>
          <w:b/>
          <w:bCs/>
          <w:kern w:val="0"/>
          <w:sz w:val="17"/>
          <w:szCs w:val="17"/>
          <w:lang w:eastAsia="it-IT"/>
          <w14:ligatures w14:val="none"/>
        </w:rPr>
        <w:t>3. Lettura condivisa delle analisi e pubblicazione del rapporto</w:t>
      </w:r>
      <w:r w:rsidR="00097936" w:rsidRPr="00097936">
        <w:rPr>
          <w:rFonts w:eastAsia="Times New Roman" w:cstheme="minorHAnsi"/>
          <w:kern w:val="0"/>
          <w:sz w:val="17"/>
          <w:szCs w:val="17"/>
          <w:lang w:eastAsia="it-IT"/>
          <w14:ligatures w14:val="none"/>
        </w:rPr>
        <w:t xml:space="preserve"> </w:t>
      </w:r>
      <w:r w:rsidRPr="008B6EFF">
        <w:rPr>
          <w:rFonts w:eastAsia="Times New Roman" w:cstheme="minorHAnsi"/>
          <w:kern w:val="0"/>
          <w:sz w:val="17"/>
          <w:szCs w:val="17"/>
          <w:lang w:eastAsia="it-IT"/>
          <w14:ligatures w14:val="none"/>
        </w:rPr>
        <w:t>L’esito delle analisi dei dati statistici ufficiali e dei focus-group qualitativi sarà validato in una serie di tre incontri con alcuni stakeholder rappresentativi (decisi insieme al Committente), invitati a partecipare ad un Comitato economico territoriale (CET) per arricchire ulteriormente il rapporto finale prima della stampa e della sua pubblicazione online.</w:t>
      </w:r>
    </w:p>
    <w:p w14:paraId="62EB8699" w14:textId="378BEDF3" w:rsidR="008B6EFF" w:rsidRPr="008B6EFF" w:rsidRDefault="008B6EFF" w:rsidP="00B076D2">
      <w:pPr>
        <w:spacing w:after="0" w:line="240" w:lineRule="auto"/>
        <w:jc w:val="both"/>
        <w:rPr>
          <w:rFonts w:eastAsia="Times New Roman" w:cstheme="minorHAnsi"/>
          <w:kern w:val="0"/>
          <w:sz w:val="17"/>
          <w:szCs w:val="17"/>
          <w:lang w:eastAsia="it-IT"/>
          <w14:ligatures w14:val="none"/>
        </w:rPr>
      </w:pPr>
      <w:r w:rsidRPr="008B6EFF">
        <w:rPr>
          <w:rFonts w:eastAsia="Times New Roman" w:cstheme="minorHAnsi"/>
          <w:b/>
          <w:bCs/>
          <w:kern w:val="0"/>
          <w:sz w:val="17"/>
          <w:szCs w:val="17"/>
          <w:lang w:eastAsia="it-IT"/>
          <w14:ligatures w14:val="none"/>
        </w:rPr>
        <w:t xml:space="preserve">4. Giornata dell’economia piacentina e disseminazione degli </w:t>
      </w:r>
      <w:proofErr w:type="gramStart"/>
      <w:r w:rsidRPr="008B6EFF">
        <w:rPr>
          <w:rFonts w:eastAsia="Times New Roman" w:cstheme="minorHAnsi"/>
          <w:b/>
          <w:bCs/>
          <w:kern w:val="0"/>
          <w:sz w:val="17"/>
          <w:szCs w:val="17"/>
          <w:lang w:eastAsia="it-IT"/>
          <w14:ligatures w14:val="none"/>
        </w:rPr>
        <w:t>elaborati</w:t>
      </w:r>
      <w:proofErr w:type="gramEnd"/>
      <w:r w:rsidR="00097936" w:rsidRPr="00097936">
        <w:rPr>
          <w:rFonts w:eastAsia="Times New Roman" w:cstheme="minorHAnsi"/>
          <w:kern w:val="0"/>
          <w:sz w:val="17"/>
          <w:szCs w:val="17"/>
          <w:lang w:eastAsia="it-IT"/>
          <w14:ligatures w14:val="none"/>
        </w:rPr>
        <w:t xml:space="preserve"> </w:t>
      </w:r>
      <w:r w:rsidRPr="008B6EFF">
        <w:rPr>
          <w:rFonts w:eastAsia="Times New Roman" w:cstheme="minorHAnsi"/>
          <w:kern w:val="0"/>
          <w:sz w:val="17"/>
          <w:szCs w:val="17"/>
          <w:lang w:eastAsia="it-IT"/>
          <w14:ligatures w14:val="none"/>
        </w:rPr>
        <w:t xml:space="preserve">L’evento finale del lavoro sarà la Giornata dell’economia piacentina, che potrà essere inserita in un programma più ampio di manifestazioni culturali e sociali. Nei mesi successi i ricercatori del LEL parteciperanno fino a </w:t>
      </w:r>
      <w:proofErr w:type="gramStart"/>
      <w:r w:rsidRPr="008B6EFF">
        <w:rPr>
          <w:rFonts w:eastAsia="Times New Roman" w:cstheme="minorHAnsi"/>
          <w:kern w:val="0"/>
          <w:sz w:val="17"/>
          <w:szCs w:val="17"/>
          <w:lang w:eastAsia="it-IT"/>
          <w14:ligatures w14:val="none"/>
        </w:rPr>
        <w:t>5</w:t>
      </w:r>
      <w:proofErr w:type="gramEnd"/>
      <w:r w:rsidRPr="008B6EFF">
        <w:rPr>
          <w:rFonts w:eastAsia="Times New Roman" w:cstheme="minorHAnsi"/>
          <w:kern w:val="0"/>
          <w:sz w:val="17"/>
          <w:szCs w:val="17"/>
          <w:lang w:eastAsia="it-IT"/>
          <w14:ligatures w14:val="none"/>
        </w:rPr>
        <w:t xml:space="preserve"> seminari/convegni di divulgazione del rapporto presso scuole, associazioni, enti culturali e sociali. Anche i focus-group settoriali potranno essere divulgati in streaming o video specifici (</w:t>
      </w:r>
      <w:proofErr w:type="spellStart"/>
      <w:r w:rsidRPr="008B6EFF">
        <w:rPr>
          <w:rFonts w:eastAsia="Times New Roman" w:cstheme="minorHAnsi"/>
          <w:kern w:val="0"/>
          <w:sz w:val="17"/>
          <w:szCs w:val="17"/>
          <w:lang w:eastAsia="it-IT"/>
          <w14:ligatures w14:val="none"/>
        </w:rPr>
        <w:t>youtube</w:t>
      </w:r>
      <w:proofErr w:type="spellEnd"/>
      <w:r w:rsidRPr="008B6EFF">
        <w:rPr>
          <w:rFonts w:eastAsia="Times New Roman" w:cstheme="minorHAnsi"/>
          <w:kern w:val="0"/>
          <w:sz w:val="17"/>
          <w:szCs w:val="17"/>
          <w:lang w:eastAsia="it-IT"/>
          <w14:ligatures w14:val="none"/>
        </w:rPr>
        <w:t>) con finalità promozionali o divulgative.</w:t>
      </w:r>
    </w:p>
    <w:p w14:paraId="009799B1" w14:textId="77777777" w:rsidR="008B6EFF" w:rsidRPr="008B6EFF" w:rsidRDefault="008B6EFF" w:rsidP="00B076D2">
      <w:pPr>
        <w:spacing w:after="0" w:line="240" w:lineRule="auto"/>
        <w:jc w:val="both"/>
        <w:rPr>
          <w:rFonts w:eastAsia="Times New Roman" w:cstheme="minorHAnsi"/>
          <w:kern w:val="0"/>
          <w:sz w:val="17"/>
          <w:szCs w:val="17"/>
          <w:lang w:eastAsia="it-IT"/>
          <w14:ligatures w14:val="none"/>
        </w:rPr>
      </w:pPr>
      <w:r w:rsidRPr="008B6EFF">
        <w:rPr>
          <w:rFonts w:eastAsia="Times New Roman" w:cstheme="minorHAnsi"/>
          <w:kern w:val="0"/>
          <w:sz w:val="17"/>
          <w:szCs w:val="17"/>
          <w:lang w:eastAsia="it-IT"/>
          <w14:ligatures w14:val="none"/>
        </w:rPr>
        <w:t xml:space="preserve">Per lo svolgimento delle attività descritte il LEL metterà a disposizione i propri esperti nel campo dell’analisi socioeconomica territoriale (3 ricercatori senior e 3 ricercatori junior), coordinati dai proff. Paolo Rizzi </w:t>
      </w:r>
      <w:proofErr w:type="gramStart"/>
      <w:r w:rsidRPr="008B6EFF">
        <w:rPr>
          <w:rFonts w:eastAsia="Times New Roman" w:cstheme="minorHAnsi"/>
          <w:kern w:val="0"/>
          <w:sz w:val="17"/>
          <w:szCs w:val="17"/>
          <w:lang w:eastAsia="it-IT"/>
          <w14:ligatures w14:val="none"/>
        </w:rPr>
        <w:t>e</w:t>
      </w:r>
      <w:proofErr w:type="gramEnd"/>
      <w:r w:rsidRPr="008B6EFF">
        <w:rPr>
          <w:rFonts w:eastAsia="Times New Roman" w:cstheme="minorHAnsi"/>
          <w:kern w:val="0"/>
          <w:sz w:val="17"/>
          <w:szCs w:val="17"/>
          <w:lang w:eastAsia="it-IT"/>
          <w14:ligatures w14:val="none"/>
        </w:rPr>
        <w:t xml:space="preserve"> Enrico </w:t>
      </w:r>
      <w:proofErr w:type="spellStart"/>
      <w:r w:rsidRPr="008B6EFF">
        <w:rPr>
          <w:rFonts w:eastAsia="Times New Roman" w:cstheme="minorHAnsi"/>
          <w:kern w:val="0"/>
          <w:sz w:val="17"/>
          <w:szCs w:val="17"/>
          <w:lang w:eastAsia="it-IT"/>
          <w14:ligatures w14:val="none"/>
        </w:rPr>
        <w:t>Ciciotti</w:t>
      </w:r>
      <w:proofErr w:type="spellEnd"/>
      <w:r w:rsidRPr="008B6EFF">
        <w:rPr>
          <w:rFonts w:eastAsia="Times New Roman" w:cstheme="minorHAnsi"/>
          <w:kern w:val="0"/>
          <w:sz w:val="17"/>
          <w:szCs w:val="17"/>
          <w:lang w:eastAsia="it-IT"/>
          <w14:ligatures w14:val="none"/>
        </w:rPr>
        <w:t>.</w:t>
      </w:r>
    </w:p>
    <w:p w14:paraId="59B4AACC" w14:textId="70883484" w:rsidR="008B6EFF" w:rsidRPr="00097936" w:rsidRDefault="008B6EFF" w:rsidP="00B076D2">
      <w:pPr>
        <w:spacing w:after="0" w:line="240" w:lineRule="auto"/>
        <w:jc w:val="both"/>
        <w:rPr>
          <w:rFonts w:eastAsia="Times New Roman" w:cstheme="minorHAnsi"/>
          <w:kern w:val="0"/>
          <w:sz w:val="17"/>
          <w:szCs w:val="17"/>
          <w:lang w:eastAsia="it-IT"/>
          <w14:ligatures w14:val="none"/>
        </w:rPr>
      </w:pPr>
      <w:hyperlink r:id="rId6" w:history="1">
        <w:r w:rsidRPr="00097936">
          <w:rPr>
            <w:rStyle w:val="Collegamentoipertestuale"/>
            <w:rFonts w:eastAsia="Times New Roman" w:cstheme="minorHAnsi"/>
            <w:kern w:val="0"/>
            <w:sz w:val="17"/>
            <w:szCs w:val="17"/>
            <w:lang w:eastAsia="it-IT"/>
            <w14:ligatures w14:val="none"/>
          </w:rPr>
          <w:t>https://centridiricerca.unicatt.it/lel-progetti-di-ricerca-il-sistema-economico-piacentino</w:t>
        </w:r>
      </w:hyperlink>
      <w:r w:rsidRPr="00097936">
        <w:rPr>
          <w:rFonts w:eastAsia="Times New Roman" w:cstheme="minorHAnsi"/>
          <w:kern w:val="0"/>
          <w:sz w:val="17"/>
          <w:szCs w:val="17"/>
          <w:lang w:eastAsia="it-IT"/>
          <w14:ligatures w14:val="none"/>
        </w:rPr>
        <w:t xml:space="preserve">. </w:t>
      </w:r>
    </w:p>
    <w:p w14:paraId="70A06D02" w14:textId="77777777" w:rsidR="00097936" w:rsidRPr="00097936" w:rsidRDefault="00097936" w:rsidP="00B076D2">
      <w:pPr>
        <w:spacing w:after="0" w:line="240" w:lineRule="auto"/>
        <w:jc w:val="both"/>
        <w:outlineLvl w:val="1"/>
        <w:rPr>
          <w:rFonts w:eastAsia="Times New Roman" w:cstheme="minorHAnsi"/>
          <w:b/>
          <w:bCs/>
          <w:kern w:val="0"/>
          <w:sz w:val="17"/>
          <w:szCs w:val="17"/>
          <w:lang w:eastAsia="it-IT"/>
          <w14:ligatures w14:val="none"/>
        </w:rPr>
      </w:pPr>
    </w:p>
    <w:p w14:paraId="5B59713A" w14:textId="7C66037A" w:rsidR="00B076D2" w:rsidRPr="00B076D2" w:rsidRDefault="00B076D2" w:rsidP="00B076D2">
      <w:pPr>
        <w:spacing w:after="0" w:line="240" w:lineRule="auto"/>
        <w:jc w:val="both"/>
        <w:outlineLvl w:val="1"/>
        <w:rPr>
          <w:rFonts w:eastAsia="Times New Roman" w:cstheme="minorHAnsi"/>
          <w:b/>
          <w:bCs/>
          <w:kern w:val="0"/>
          <w:sz w:val="17"/>
          <w:szCs w:val="17"/>
          <w:lang w:eastAsia="it-IT"/>
          <w14:ligatures w14:val="none"/>
        </w:rPr>
      </w:pPr>
      <w:r w:rsidRPr="00B076D2">
        <w:rPr>
          <w:rFonts w:eastAsia="Times New Roman" w:cstheme="minorHAnsi"/>
          <w:b/>
          <w:bCs/>
          <w:kern w:val="0"/>
          <w:sz w:val="17"/>
          <w:szCs w:val="17"/>
          <w:lang w:eastAsia="it-IT"/>
          <w14:ligatures w14:val="none"/>
        </w:rPr>
        <w:t xml:space="preserve">Quaderni LEL </w:t>
      </w:r>
      <w:r w:rsidRPr="00097936">
        <w:rPr>
          <w:rFonts w:eastAsia="Times New Roman" w:cstheme="minorHAnsi"/>
          <w:b/>
          <w:bCs/>
          <w:kern w:val="0"/>
          <w:sz w:val="17"/>
          <w:szCs w:val="17"/>
          <w:lang w:eastAsia="it-IT"/>
          <w14:ligatures w14:val="none"/>
        </w:rPr>
        <w:t>2022-</w:t>
      </w:r>
      <w:r w:rsidRPr="00B076D2">
        <w:rPr>
          <w:rFonts w:eastAsia="Times New Roman" w:cstheme="minorHAnsi"/>
          <w:b/>
          <w:bCs/>
          <w:kern w:val="0"/>
          <w:sz w:val="17"/>
          <w:szCs w:val="17"/>
          <w:lang w:eastAsia="it-IT"/>
          <w14:ligatures w14:val="none"/>
        </w:rPr>
        <w:t>2023</w:t>
      </w:r>
    </w:p>
    <w:p w14:paraId="3407F83E" w14:textId="77777777" w:rsidR="00B076D2" w:rsidRPr="00097936" w:rsidRDefault="00B076D2" w:rsidP="00B076D2">
      <w:pPr>
        <w:spacing w:after="0" w:line="240" w:lineRule="auto"/>
        <w:jc w:val="both"/>
        <w:rPr>
          <w:rStyle w:val="Enfasigrassetto"/>
          <w:rFonts w:cstheme="minorHAnsi"/>
          <w:sz w:val="17"/>
          <w:szCs w:val="17"/>
        </w:rPr>
      </w:pPr>
      <w:r w:rsidRPr="00097936">
        <w:rPr>
          <w:rStyle w:val="Enfasigrassetto"/>
          <w:rFonts w:cstheme="minorHAnsi"/>
          <w:sz w:val="17"/>
          <w:szCs w:val="17"/>
        </w:rPr>
        <w:t>214. Il sistema economico piacentino – report 2022</w:t>
      </w:r>
      <w:r w:rsidRPr="00097936">
        <w:rPr>
          <w:rFonts w:cstheme="minorHAnsi"/>
          <w:sz w:val="17"/>
          <w:szCs w:val="17"/>
        </w:rPr>
        <w:t xml:space="preserve"> – </w:t>
      </w:r>
      <w:proofErr w:type="spellStart"/>
      <w:r w:rsidRPr="00097936">
        <w:rPr>
          <w:rFonts w:cstheme="minorHAnsi"/>
          <w:sz w:val="17"/>
          <w:szCs w:val="17"/>
        </w:rPr>
        <w:t>Ciciotti</w:t>
      </w:r>
      <w:proofErr w:type="spellEnd"/>
      <w:r w:rsidRPr="00097936">
        <w:rPr>
          <w:rFonts w:cstheme="minorHAnsi"/>
          <w:sz w:val="17"/>
          <w:szCs w:val="17"/>
        </w:rPr>
        <w:t xml:space="preserve"> E., Marchettini D., Rizzi P., Turci L., Banca di Piacenza, Piacenza, maggio 2022</w:t>
      </w:r>
      <w:r w:rsidRPr="00097936">
        <w:rPr>
          <w:rStyle w:val="Enfasigrassetto"/>
          <w:rFonts w:cstheme="minorHAnsi"/>
          <w:sz w:val="17"/>
          <w:szCs w:val="17"/>
        </w:rPr>
        <w:t xml:space="preserve"> </w:t>
      </w:r>
    </w:p>
    <w:p w14:paraId="14D08068" w14:textId="50BB1456" w:rsidR="00B076D2" w:rsidRPr="00097936" w:rsidRDefault="00B076D2" w:rsidP="00B076D2">
      <w:pPr>
        <w:spacing w:after="0" w:line="240" w:lineRule="auto"/>
        <w:jc w:val="both"/>
        <w:rPr>
          <w:rFonts w:eastAsia="Times New Roman" w:cstheme="minorHAnsi"/>
          <w:kern w:val="0"/>
          <w:sz w:val="18"/>
          <w:szCs w:val="18"/>
          <w:lang w:eastAsia="it-IT"/>
          <w14:ligatures w14:val="none"/>
        </w:rPr>
      </w:pPr>
      <w:r w:rsidRPr="00097936">
        <w:rPr>
          <w:rStyle w:val="Enfasigrassetto"/>
          <w:rFonts w:cstheme="minorHAnsi"/>
          <w:sz w:val="17"/>
          <w:szCs w:val="17"/>
        </w:rPr>
        <w:t>221. Il sistema</w:t>
      </w:r>
      <w:r w:rsidRPr="00097936">
        <w:rPr>
          <w:rStyle w:val="Enfasigrassetto"/>
          <w:rFonts w:cstheme="minorHAnsi"/>
          <w:sz w:val="18"/>
          <w:szCs w:val="18"/>
        </w:rPr>
        <w:t xml:space="preserve"> economico piacentino – report 2023 </w:t>
      </w:r>
      <w:r w:rsidRPr="00097936">
        <w:rPr>
          <w:rFonts w:cstheme="minorHAnsi"/>
          <w:sz w:val="18"/>
          <w:szCs w:val="18"/>
        </w:rPr>
        <w:t xml:space="preserve">– </w:t>
      </w:r>
      <w:proofErr w:type="spellStart"/>
      <w:r w:rsidRPr="00097936">
        <w:rPr>
          <w:rFonts w:cstheme="minorHAnsi"/>
          <w:sz w:val="18"/>
          <w:szCs w:val="18"/>
        </w:rPr>
        <w:t>Ciciotti</w:t>
      </w:r>
      <w:proofErr w:type="spellEnd"/>
      <w:r w:rsidRPr="00097936">
        <w:rPr>
          <w:rFonts w:cstheme="minorHAnsi"/>
          <w:sz w:val="18"/>
          <w:szCs w:val="18"/>
        </w:rPr>
        <w:t xml:space="preserve"> E., Marchettini D., Rizzi P., Turci L., Banca di Piacenza, Piacenza, maggio 2023</w:t>
      </w:r>
    </w:p>
    <w:sectPr w:rsidR="00B076D2" w:rsidRPr="000979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31D10"/>
    <w:multiLevelType w:val="multilevel"/>
    <w:tmpl w:val="6A72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007ABB"/>
    <w:multiLevelType w:val="multilevel"/>
    <w:tmpl w:val="5138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807476">
    <w:abstractNumId w:val="0"/>
  </w:num>
  <w:num w:numId="2" w16cid:durableId="1374575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F692D"/>
    <w:rsid w:val="00097936"/>
    <w:rsid w:val="0031062F"/>
    <w:rsid w:val="005F692D"/>
    <w:rsid w:val="006C2212"/>
    <w:rsid w:val="008B6EFF"/>
    <w:rsid w:val="00B076D2"/>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F2C"/>
  <w15:chartTrackingRefBased/>
  <w15:docId w15:val="{E84D25CD-1E1F-48C8-AA02-4D49B580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F692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5F692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F692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F692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F692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F692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F692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F692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F692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F692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5F692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F692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F692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F692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F692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F692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F692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F692D"/>
    <w:rPr>
      <w:rFonts w:eastAsiaTheme="majorEastAsia" w:cstheme="majorBidi"/>
      <w:color w:val="272727" w:themeColor="text1" w:themeTint="D8"/>
    </w:rPr>
  </w:style>
  <w:style w:type="paragraph" w:styleId="Titolo">
    <w:name w:val="Title"/>
    <w:basedOn w:val="Normale"/>
    <w:next w:val="Normale"/>
    <w:link w:val="TitoloCarattere"/>
    <w:uiPriority w:val="10"/>
    <w:qFormat/>
    <w:rsid w:val="005F6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F692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F692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F692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F692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F692D"/>
    <w:rPr>
      <w:i/>
      <w:iCs/>
      <w:color w:val="404040" w:themeColor="text1" w:themeTint="BF"/>
    </w:rPr>
  </w:style>
  <w:style w:type="paragraph" w:styleId="Paragrafoelenco">
    <w:name w:val="List Paragraph"/>
    <w:basedOn w:val="Normale"/>
    <w:uiPriority w:val="34"/>
    <w:qFormat/>
    <w:rsid w:val="005F692D"/>
    <w:pPr>
      <w:ind w:left="720"/>
      <w:contextualSpacing/>
    </w:pPr>
  </w:style>
  <w:style w:type="character" w:styleId="Enfasiintensa">
    <w:name w:val="Intense Emphasis"/>
    <w:basedOn w:val="Carpredefinitoparagrafo"/>
    <w:uiPriority w:val="21"/>
    <w:qFormat/>
    <w:rsid w:val="005F692D"/>
    <w:rPr>
      <w:i/>
      <w:iCs/>
      <w:color w:val="365F91" w:themeColor="accent1" w:themeShade="BF"/>
    </w:rPr>
  </w:style>
  <w:style w:type="paragraph" w:styleId="Citazioneintensa">
    <w:name w:val="Intense Quote"/>
    <w:basedOn w:val="Normale"/>
    <w:next w:val="Normale"/>
    <w:link w:val="CitazioneintensaCarattere"/>
    <w:uiPriority w:val="30"/>
    <w:qFormat/>
    <w:rsid w:val="005F692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F692D"/>
    <w:rPr>
      <w:i/>
      <w:iCs/>
      <w:color w:val="365F91" w:themeColor="accent1" w:themeShade="BF"/>
    </w:rPr>
  </w:style>
  <w:style w:type="character" w:styleId="Riferimentointenso">
    <w:name w:val="Intense Reference"/>
    <w:basedOn w:val="Carpredefinitoparagrafo"/>
    <w:uiPriority w:val="32"/>
    <w:qFormat/>
    <w:rsid w:val="005F692D"/>
    <w:rPr>
      <w:b/>
      <w:bCs/>
      <w:smallCaps/>
      <w:color w:val="365F91" w:themeColor="accent1" w:themeShade="BF"/>
      <w:spacing w:val="5"/>
    </w:rPr>
  </w:style>
  <w:style w:type="character" w:styleId="Collegamentoipertestuale">
    <w:name w:val="Hyperlink"/>
    <w:basedOn w:val="Carpredefinitoparagrafo"/>
    <w:uiPriority w:val="99"/>
    <w:unhideWhenUsed/>
    <w:rsid w:val="006C2212"/>
    <w:rPr>
      <w:color w:val="0000FF"/>
      <w:u w:val="single"/>
    </w:rPr>
  </w:style>
  <w:style w:type="paragraph" w:styleId="NormaleWeb">
    <w:name w:val="Normal (Web)"/>
    <w:basedOn w:val="Normale"/>
    <w:uiPriority w:val="99"/>
    <w:semiHidden/>
    <w:unhideWhenUsed/>
    <w:rsid w:val="008B6EF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8B6EFF"/>
    <w:rPr>
      <w:i/>
      <w:iCs/>
    </w:rPr>
  </w:style>
  <w:style w:type="character" w:styleId="Enfasigrassetto">
    <w:name w:val="Strong"/>
    <w:basedOn w:val="Carpredefinitoparagrafo"/>
    <w:uiPriority w:val="22"/>
    <w:qFormat/>
    <w:rsid w:val="008B6EFF"/>
    <w:rPr>
      <w:b/>
      <w:bCs/>
    </w:rPr>
  </w:style>
  <w:style w:type="character" w:styleId="Menzionenonrisolta">
    <w:name w:val="Unresolved Mention"/>
    <w:basedOn w:val="Carpredefinitoparagrafo"/>
    <w:uiPriority w:val="99"/>
    <w:semiHidden/>
    <w:unhideWhenUsed/>
    <w:rsid w:val="008B6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392195">
      <w:bodyDiv w:val="1"/>
      <w:marLeft w:val="0"/>
      <w:marRight w:val="0"/>
      <w:marTop w:val="0"/>
      <w:marBottom w:val="0"/>
      <w:divBdr>
        <w:top w:val="none" w:sz="0" w:space="0" w:color="auto"/>
        <w:left w:val="none" w:sz="0" w:space="0" w:color="auto"/>
        <w:bottom w:val="none" w:sz="0" w:space="0" w:color="auto"/>
        <w:right w:val="none" w:sz="0" w:space="0" w:color="auto"/>
      </w:divBdr>
    </w:div>
    <w:div w:id="1499536300">
      <w:bodyDiv w:val="1"/>
      <w:marLeft w:val="0"/>
      <w:marRight w:val="0"/>
      <w:marTop w:val="0"/>
      <w:marBottom w:val="0"/>
      <w:divBdr>
        <w:top w:val="none" w:sz="0" w:space="0" w:color="auto"/>
        <w:left w:val="none" w:sz="0" w:space="0" w:color="auto"/>
        <w:bottom w:val="none" w:sz="0" w:space="0" w:color="auto"/>
        <w:right w:val="none" w:sz="0" w:space="0" w:color="auto"/>
      </w:divBdr>
      <w:divsChild>
        <w:div w:id="914435921">
          <w:marLeft w:val="0"/>
          <w:marRight w:val="0"/>
          <w:marTop w:val="0"/>
          <w:marBottom w:val="0"/>
          <w:divBdr>
            <w:top w:val="none" w:sz="0" w:space="0" w:color="auto"/>
            <w:left w:val="none" w:sz="0" w:space="0" w:color="auto"/>
            <w:bottom w:val="none" w:sz="0" w:space="0" w:color="auto"/>
            <w:right w:val="none" w:sz="0" w:space="0" w:color="auto"/>
          </w:divBdr>
          <w:divsChild>
            <w:div w:id="2090079125">
              <w:marLeft w:val="0"/>
              <w:marRight w:val="0"/>
              <w:marTop w:val="0"/>
              <w:marBottom w:val="0"/>
              <w:divBdr>
                <w:top w:val="none" w:sz="0" w:space="0" w:color="auto"/>
                <w:left w:val="none" w:sz="0" w:space="0" w:color="auto"/>
                <w:bottom w:val="none" w:sz="0" w:space="0" w:color="auto"/>
                <w:right w:val="none" w:sz="0" w:space="0" w:color="auto"/>
              </w:divBdr>
              <w:divsChild>
                <w:div w:id="19780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88235">
      <w:bodyDiv w:val="1"/>
      <w:marLeft w:val="0"/>
      <w:marRight w:val="0"/>
      <w:marTop w:val="0"/>
      <w:marBottom w:val="0"/>
      <w:divBdr>
        <w:top w:val="none" w:sz="0" w:space="0" w:color="auto"/>
        <w:left w:val="none" w:sz="0" w:space="0" w:color="auto"/>
        <w:bottom w:val="none" w:sz="0" w:space="0" w:color="auto"/>
        <w:right w:val="none" w:sz="0" w:space="0" w:color="auto"/>
      </w:divBdr>
      <w:divsChild>
        <w:div w:id="1244298784">
          <w:marLeft w:val="0"/>
          <w:marRight w:val="0"/>
          <w:marTop w:val="0"/>
          <w:marBottom w:val="0"/>
          <w:divBdr>
            <w:top w:val="none" w:sz="0" w:space="0" w:color="auto"/>
            <w:left w:val="none" w:sz="0" w:space="0" w:color="auto"/>
            <w:bottom w:val="none" w:sz="0" w:space="0" w:color="auto"/>
            <w:right w:val="none" w:sz="0" w:space="0" w:color="auto"/>
          </w:divBdr>
        </w:div>
        <w:div w:id="879785669">
          <w:marLeft w:val="0"/>
          <w:marRight w:val="0"/>
          <w:marTop w:val="0"/>
          <w:marBottom w:val="0"/>
          <w:divBdr>
            <w:top w:val="none" w:sz="0" w:space="0" w:color="auto"/>
            <w:left w:val="none" w:sz="0" w:space="0" w:color="auto"/>
            <w:bottom w:val="none" w:sz="0" w:space="0" w:color="auto"/>
            <w:right w:val="none" w:sz="0" w:space="0" w:color="auto"/>
          </w:divBdr>
        </w:div>
        <w:div w:id="343410332">
          <w:marLeft w:val="0"/>
          <w:marRight w:val="0"/>
          <w:marTop w:val="0"/>
          <w:marBottom w:val="0"/>
          <w:divBdr>
            <w:top w:val="none" w:sz="0" w:space="0" w:color="auto"/>
            <w:left w:val="none" w:sz="0" w:space="0" w:color="auto"/>
            <w:bottom w:val="none" w:sz="0" w:space="0" w:color="auto"/>
            <w:right w:val="none" w:sz="0" w:space="0" w:color="auto"/>
          </w:divBdr>
        </w:div>
        <w:div w:id="405685305">
          <w:marLeft w:val="0"/>
          <w:marRight w:val="0"/>
          <w:marTop w:val="0"/>
          <w:marBottom w:val="0"/>
          <w:divBdr>
            <w:top w:val="none" w:sz="0" w:space="0" w:color="auto"/>
            <w:left w:val="none" w:sz="0" w:space="0" w:color="auto"/>
            <w:bottom w:val="none" w:sz="0" w:space="0" w:color="auto"/>
            <w:right w:val="none" w:sz="0" w:space="0" w:color="auto"/>
          </w:divBdr>
        </w:div>
      </w:divsChild>
    </w:div>
    <w:div w:id="1798721348">
      <w:bodyDiv w:val="1"/>
      <w:marLeft w:val="0"/>
      <w:marRight w:val="0"/>
      <w:marTop w:val="0"/>
      <w:marBottom w:val="0"/>
      <w:divBdr>
        <w:top w:val="none" w:sz="0" w:space="0" w:color="auto"/>
        <w:left w:val="none" w:sz="0" w:space="0" w:color="auto"/>
        <w:bottom w:val="none" w:sz="0" w:space="0" w:color="auto"/>
        <w:right w:val="none" w:sz="0" w:space="0" w:color="auto"/>
      </w:divBdr>
      <w:divsChild>
        <w:div w:id="1426458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tridiricerca.unicatt.it/lel-progetti-di-ricerca-il-sistema-economico-piacentino" TargetMode="External"/><Relationship Id="rId5" Type="http://schemas.openxmlformats.org/officeDocument/2006/relationships/hyperlink" Target="https://opac.sbn.it/c/search/opac?groupId=20122&amp;item:5032:Nomi::@frase@=RERV036532"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799</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2024-05-08T05:54:00Z</dcterms:created>
  <dcterms:modified xsi:type="dcterms:W3CDTF">2024-05-08T07:41:00Z</dcterms:modified>
</cp:coreProperties>
</file>