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937B4F" w14:textId="56739B1B" w:rsidR="00F26919" w:rsidRDefault="00F26919" w:rsidP="00F26919">
      <w:pPr>
        <w:jc w:val="both"/>
        <w:rPr>
          <w:rFonts w:cstheme="minorHAnsi"/>
          <w:bCs/>
          <w:i/>
          <w:sz w:val="16"/>
          <w:szCs w:val="16"/>
        </w:rPr>
      </w:pPr>
      <w:r w:rsidRPr="00757414">
        <w:rPr>
          <w:rFonts w:asciiTheme="minorHAnsi" w:hAnsiTheme="minorHAnsi" w:cstheme="minorHAnsi"/>
          <w:b/>
          <w:bCs/>
          <w:color w:val="C00000"/>
          <w:sz w:val="36"/>
          <w:szCs w:val="36"/>
        </w:rPr>
        <w:t>D</w:t>
      </w:r>
      <w:r>
        <w:rPr>
          <w:rFonts w:asciiTheme="minorHAnsi" w:hAnsiTheme="minorHAnsi" w:cstheme="minorHAnsi"/>
          <w:b/>
          <w:bCs/>
          <w:color w:val="C00000"/>
          <w:sz w:val="36"/>
          <w:szCs w:val="36"/>
        </w:rPr>
        <w:t>6154</w:t>
      </w:r>
      <w:r w:rsidRPr="00757414">
        <w:rPr>
          <w:rFonts w:asciiTheme="minorHAnsi" w:hAnsiTheme="minorHAnsi" w:cstheme="minorHAnsi"/>
          <w:bCs/>
          <w:color w:val="C00000"/>
          <w:sz w:val="36"/>
          <w:szCs w:val="36"/>
        </w:rPr>
        <w:t xml:space="preserve"> </w:t>
      </w:r>
      <w:r w:rsidRPr="004C27F3">
        <w:rPr>
          <w:rFonts w:cstheme="minorHAnsi"/>
          <w:bCs/>
          <w:i/>
          <w:sz w:val="16"/>
          <w:szCs w:val="16"/>
        </w:rPr>
        <w:tab/>
      </w:r>
      <w:r w:rsidRPr="004C27F3">
        <w:rPr>
          <w:rFonts w:cstheme="minorHAnsi"/>
          <w:bCs/>
          <w:i/>
          <w:sz w:val="16"/>
          <w:szCs w:val="16"/>
        </w:rPr>
        <w:tab/>
      </w:r>
      <w:r w:rsidRPr="004C27F3">
        <w:rPr>
          <w:rFonts w:cstheme="minorHAnsi"/>
          <w:bCs/>
          <w:i/>
          <w:sz w:val="16"/>
          <w:szCs w:val="16"/>
        </w:rPr>
        <w:tab/>
      </w:r>
      <w:r w:rsidRPr="004C27F3">
        <w:rPr>
          <w:rFonts w:cstheme="minorHAnsi"/>
          <w:bCs/>
          <w:i/>
          <w:sz w:val="16"/>
          <w:szCs w:val="16"/>
        </w:rPr>
        <w:tab/>
      </w:r>
      <w:r w:rsidRPr="004C27F3">
        <w:rPr>
          <w:rFonts w:cstheme="minorHAnsi"/>
          <w:bCs/>
          <w:i/>
          <w:sz w:val="16"/>
          <w:szCs w:val="16"/>
        </w:rPr>
        <w:tab/>
        <w:t xml:space="preserve">Scheda creata il </w:t>
      </w:r>
      <w:r>
        <w:rPr>
          <w:rFonts w:cstheme="minorHAnsi"/>
          <w:bCs/>
          <w:i/>
          <w:sz w:val="16"/>
          <w:szCs w:val="16"/>
        </w:rPr>
        <w:t>1 novembre</w:t>
      </w:r>
      <w:r w:rsidRPr="004C27F3">
        <w:rPr>
          <w:rFonts w:cstheme="minorHAnsi"/>
          <w:bCs/>
          <w:i/>
          <w:sz w:val="16"/>
          <w:szCs w:val="16"/>
        </w:rPr>
        <w:t xml:space="preserve"> 2022</w:t>
      </w:r>
      <w:r w:rsidR="00A8612F">
        <w:rPr>
          <w:rFonts w:cstheme="minorHAnsi"/>
          <w:bCs/>
          <w:i/>
          <w:sz w:val="16"/>
          <w:szCs w:val="16"/>
        </w:rPr>
        <w:t>; Ultimo aggiornamento: 29 maggio 2024</w:t>
      </w:r>
    </w:p>
    <w:p w14:paraId="7FB18378" w14:textId="4D6BF430" w:rsidR="00BB7760" w:rsidRPr="004C27F3" w:rsidRDefault="00BB7760" w:rsidP="00A8612F">
      <w:pPr>
        <w:jc w:val="center"/>
        <w:rPr>
          <w:rFonts w:cstheme="minorHAnsi"/>
          <w:bCs/>
          <w:i/>
          <w:sz w:val="16"/>
          <w:szCs w:val="16"/>
        </w:rPr>
      </w:pPr>
      <w:r>
        <w:rPr>
          <w:noProof/>
        </w:rPr>
        <w:drawing>
          <wp:inline distT="0" distB="0" distL="0" distR="0" wp14:anchorId="767BC9C5" wp14:editId="62CF1F86">
            <wp:extent cx="1278000" cy="1800000"/>
            <wp:effectExtent l="0" t="0" r="0" b="0"/>
            <wp:docPr id="2" name="Immagine 2" descr="Puglia in cif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glia in cifre 199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78000" cy="1800000"/>
                    </a:xfrm>
                    <a:prstGeom prst="rect">
                      <a:avLst/>
                    </a:prstGeom>
                    <a:noFill/>
                    <a:ln>
                      <a:noFill/>
                    </a:ln>
                  </pic:spPr>
                </pic:pic>
              </a:graphicData>
            </a:graphic>
          </wp:inline>
        </w:drawing>
      </w:r>
      <w:r w:rsidRPr="00BB7760">
        <w:rPr>
          <w:noProof/>
        </w:rPr>
        <w:drawing>
          <wp:inline distT="0" distB="0" distL="0" distR="0" wp14:anchorId="743B2C59" wp14:editId="75A15394">
            <wp:extent cx="1285200" cy="18000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285200" cy="1800000"/>
                    </a:xfrm>
                    <a:prstGeom prst="rect">
                      <a:avLst/>
                    </a:prstGeom>
                  </pic:spPr>
                </pic:pic>
              </a:graphicData>
            </a:graphic>
          </wp:inline>
        </w:drawing>
      </w:r>
      <w:r w:rsidRPr="00BB7760">
        <w:rPr>
          <w:noProof/>
        </w:rPr>
        <w:drawing>
          <wp:inline distT="0" distB="0" distL="0" distR="0" wp14:anchorId="772F3657" wp14:editId="0AB5A5AB">
            <wp:extent cx="1285200" cy="1800000"/>
            <wp:effectExtent l="0" t="0" r="0" b="0"/>
            <wp:docPr id="1" name="Immagin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pic:nvPicPr>
                  <pic:blipFill>
                    <a:blip r:embed="rId6"/>
                    <a:stretch>
                      <a:fillRect/>
                    </a:stretch>
                  </pic:blipFill>
                  <pic:spPr>
                    <a:xfrm>
                      <a:off x="0" y="0"/>
                      <a:ext cx="1285200" cy="1800000"/>
                    </a:xfrm>
                    <a:prstGeom prst="rect">
                      <a:avLst/>
                    </a:prstGeom>
                  </pic:spPr>
                </pic:pic>
              </a:graphicData>
            </a:graphic>
          </wp:inline>
        </w:drawing>
      </w:r>
      <w:r w:rsidRPr="00BB7760">
        <w:rPr>
          <w:noProof/>
        </w:rPr>
        <w:drawing>
          <wp:inline distT="0" distB="0" distL="0" distR="0" wp14:anchorId="01AD559D" wp14:editId="13930864">
            <wp:extent cx="1292400" cy="1800000"/>
            <wp:effectExtent l="0" t="0" r="317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92400" cy="1800000"/>
                    </a:xfrm>
                    <a:prstGeom prst="rect">
                      <a:avLst/>
                    </a:prstGeom>
                  </pic:spPr>
                </pic:pic>
              </a:graphicData>
            </a:graphic>
          </wp:inline>
        </w:drawing>
      </w:r>
    </w:p>
    <w:p w14:paraId="5DC763C8" w14:textId="5D8E4889" w:rsidR="00A8612F" w:rsidRDefault="00A8612F" w:rsidP="00A8612F">
      <w:pPr>
        <w:jc w:val="center"/>
        <w:rPr>
          <w:rFonts w:asciiTheme="minorHAnsi" w:hAnsiTheme="minorHAnsi" w:cstheme="minorHAnsi"/>
          <w:b/>
          <w:bCs/>
          <w:color w:val="C00000"/>
          <w:sz w:val="44"/>
          <w:szCs w:val="44"/>
        </w:rPr>
      </w:pPr>
      <w:r w:rsidRPr="00A8612F">
        <w:drawing>
          <wp:inline distT="0" distB="0" distL="0" distR="0" wp14:anchorId="368192C0" wp14:editId="4183B858">
            <wp:extent cx="1558800" cy="2160000"/>
            <wp:effectExtent l="0" t="0" r="3810" b="0"/>
            <wp:docPr id="357818477" name="Immagine 1" descr="Immagine che contiene testo, schermata, Caratter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18477" name="Immagine 1" descr="Immagine che contiene testo, schermata, Carattere, logo&#10;&#10;Descrizione generata automaticamente"/>
                    <pic:cNvPicPr/>
                  </pic:nvPicPr>
                  <pic:blipFill>
                    <a:blip r:embed="rId8"/>
                    <a:stretch>
                      <a:fillRect/>
                    </a:stretch>
                  </pic:blipFill>
                  <pic:spPr>
                    <a:xfrm>
                      <a:off x="0" y="0"/>
                      <a:ext cx="1558800" cy="2160000"/>
                    </a:xfrm>
                    <a:prstGeom prst="rect">
                      <a:avLst/>
                    </a:prstGeom>
                  </pic:spPr>
                </pic:pic>
              </a:graphicData>
            </a:graphic>
          </wp:inline>
        </w:drawing>
      </w:r>
      <w:r w:rsidRPr="00A8612F">
        <w:drawing>
          <wp:inline distT="0" distB="0" distL="0" distR="0" wp14:anchorId="221A7DE1" wp14:editId="7543D8D0">
            <wp:extent cx="1461600" cy="2160000"/>
            <wp:effectExtent l="0" t="0" r="5715" b="0"/>
            <wp:docPr id="883425803" name="Immagine 1" descr="Immagine che contiene testo, schermata, Caratter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425803" name="Immagine 1" descr="Immagine che contiene testo, schermata, Carattere, logo&#10;&#10;Descrizione generata automaticamente"/>
                    <pic:cNvPicPr/>
                  </pic:nvPicPr>
                  <pic:blipFill>
                    <a:blip r:embed="rId9"/>
                    <a:stretch>
                      <a:fillRect/>
                    </a:stretch>
                  </pic:blipFill>
                  <pic:spPr>
                    <a:xfrm>
                      <a:off x="0" y="0"/>
                      <a:ext cx="1461600" cy="2160000"/>
                    </a:xfrm>
                    <a:prstGeom prst="rect">
                      <a:avLst/>
                    </a:prstGeom>
                  </pic:spPr>
                </pic:pic>
              </a:graphicData>
            </a:graphic>
          </wp:inline>
        </w:drawing>
      </w:r>
      <w:r>
        <w:rPr>
          <w:noProof/>
        </w:rPr>
        <w:drawing>
          <wp:inline distT="0" distB="0" distL="0" distR="0" wp14:anchorId="2B9692BE" wp14:editId="65936679">
            <wp:extent cx="1443600" cy="2160000"/>
            <wp:effectExtent l="0" t="0" r="4445" b="0"/>
            <wp:docPr id="1712988097" name="Immagine 1" descr="Relazione economica ambientale e social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zione economica ambientale e sociale 20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3600" cy="2160000"/>
                    </a:xfrm>
                    <a:prstGeom prst="rect">
                      <a:avLst/>
                    </a:prstGeom>
                    <a:noFill/>
                    <a:ln>
                      <a:noFill/>
                    </a:ln>
                  </pic:spPr>
                </pic:pic>
              </a:graphicData>
            </a:graphic>
          </wp:inline>
        </w:drawing>
      </w:r>
    </w:p>
    <w:p w14:paraId="56CC2CF7" w14:textId="4EE90DE8" w:rsidR="00F26919" w:rsidRPr="005E7C49" w:rsidRDefault="00F26919" w:rsidP="00F26919">
      <w:pPr>
        <w:jc w:val="both"/>
        <w:rPr>
          <w:rFonts w:asciiTheme="minorHAnsi" w:hAnsiTheme="minorHAnsi" w:cstheme="minorHAnsi"/>
          <w:sz w:val="44"/>
          <w:szCs w:val="44"/>
        </w:rPr>
      </w:pPr>
      <w:r w:rsidRPr="005E7C49">
        <w:rPr>
          <w:rFonts w:asciiTheme="minorHAnsi" w:hAnsiTheme="minorHAnsi" w:cstheme="minorHAnsi"/>
          <w:b/>
          <w:bCs/>
          <w:color w:val="C00000"/>
          <w:sz w:val="44"/>
          <w:szCs w:val="44"/>
        </w:rPr>
        <w:t>Descrizione storico-bibliografica</w:t>
      </w:r>
      <w:r w:rsidRPr="005E7C49">
        <w:rPr>
          <w:rFonts w:asciiTheme="minorHAnsi" w:hAnsiTheme="minorHAnsi" w:cstheme="minorHAnsi"/>
          <w:sz w:val="44"/>
          <w:szCs w:val="44"/>
        </w:rPr>
        <w:t xml:space="preserve"> </w:t>
      </w:r>
    </w:p>
    <w:p w14:paraId="375A9E6A" w14:textId="77777777" w:rsidR="00F26919" w:rsidRPr="005E7C49" w:rsidRDefault="00F26919" w:rsidP="005E7C49">
      <w:pPr>
        <w:jc w:val="both"/>
        <w:rPr>
          <w:rFonts w:asciiTheme="minorHAnsi" w:hAnsiTheme="minorHAnsi" w:cstheme="minorHAnsi"/>
          <w:sz w:val="22"/>
          <w:szCs w:val="22"/>
        </w:rPr>
      </w:pPr>
      <w:r w:rsidRPr="005E7C49">
        <w:rPr>
          <w:rFonts w:asciiTheme="minorHAnsi" w:hAnsiTheme="minorHAnsi" w:cstheme="minorHAnsi"/>
          <w:b/>
          <w:sz w:val="22"/>
          <w:szCs w:val="22"/>
        </w:rPr>
        <w:t>*Puglia in cifre</w:t>
      </w:r>
      <w:r w:rsidRPr="005E7C49">
        <w:rPr>
          <w:rFonts w:asciiTheme="minorHAnsi" w:hAnsiTheme="minorHAnsi" w:cstheme="minorHAnsi"/>
          <w:sz w:val="22"/>
          <w:szCs w:val="22"/>
        </w:rPr>
        <w:t xml:space="preserve"> / IPRES, Istituto pugliese di ricerche economiche e sociali. - 1997-2013/2014. - Bari : Levante, 1997-2014. – 17 volumi ; 24 cm. ((Annuale; biennale 2013/2014. – L’editore varia: Progedit (2001-2004); SEDIT (2005-2007); Cacucci (2008-2014). - Poi con CD-ROM. – Disponibile anche in Internet a: </w:t>
      </w:r>
      <w:hyperlink r:id="rId11" w:anchor="categoria=8&amp;sort=created_date&amp;limiter=12&amp;page=5" w:history="1">
        <w:r w:rsidRPr="005E7C49">
          <w:rPr>
            <w:rStyle w:val="Collegamentoipertestuale"/>
            <w:rFonts w:asciiTheme="minorHAnsi" w:hAnsiTheme="minorHAnsi" w:cstheme="minorHAnsi"/>
            <w:sz w:val="22"/>
            <w:szCs w:val="22"/>
          </w:rPr>
          <w:t>https://www.ipres.it/it/pubblicazioni-e-ricerche#categoria=8&amp;sort=created_date&amp;limiter=12&amp;page=5</w:t>
        </w:r>
      </w:hyperlink>
    </w:p>
    <w:p w14:paraId="2A7C159C" w14:textId="77777777" w:rsidR="00F26919" w:rsidRPr="005E7C49" w:rsidRDefault="00F26919" w:rsidP="005E7C49">
      <w:pPr>
        <w:jc w:val="both"/>
        <w:rPr>
          <w:rFonts w:asciiTheme="minorHAnsi" w:hAnsiTheme="minorHAnsi" w:cstheme="minorHAnsi"/>
          <w:sz w:val="22"/>
          <w:szCs w:val="22"/>
        </w:rPr>
      </w:pPr>
      <w:r w:rsidRPr="005E7C49">
        <w:rPr>
          <w:rFonts w:asciiTheme="minorHAnsi" w:hAnsiTheme="minorHAnsi" w:cstheme="minorHAnsi"/>
          <w:sz w:val="22"/>
          <w:szCs w:val="22"/>
        </w:rPr>
        <w:t>. - CFI0461455</w:t>
      </w:r>
    </w:p>
    <w:p w14:paraId="5820D651" w14:textId="77777777" w:rsidR="00A8612F" w:rsidRPr="005E7C49" w:rsidRDefault="00A8612F" w:rsidP="00A8612F">
      <w:pPr>
        <w:tabs>
          <w:tab w:val="right" w:pos="6480"/>
        </w:tabs>
        <w:jc w:val="both"/>
        <w:rPr>
          <w:rFonts w:asciiTheme="minorHAnsi" w:hAnsiTheme="minorHAnsi" w:cstheme="minorHAnsi"/>
          <w:sz w:val="22"/>
          <w:szCs w:val="22"/>
        </w:rPr>
      </w:pPr>
      <w:r w:rsidRPr="005E7C49">
        <w:rPr>
          <w:rFonts w:asciiTheme="minorHAnsi" w:hAnsiTheme="minorHAnsi" w:cstheme="minorHAnsi"/>
          <w:sz w:val="22"/>
          <w:szCs w:val="22"/>
        </w:rPr>
        <w:t>Autore: IPRES</w:t>
      </w:r>
    </w:p>
    <w:p w14:paraId="1DEED8A4" w14:textId="77777777" w:rsidR="00F26919" w:rsidRPr="00A8612F" w:rsidRDefault="00F26919" w:rsidP="005E7C49">
      <w:pPr>
        <w:tabs>
          <w:tab w:val="right" w:pos="6480"/>
        </w:tabs>
        <w:jc w:val="both"/>
        <w:rPr>
          <w:rFonts w:asciiTheme="minorHAnsi" w:hAnsiTheme="minorHAnsi" w:cstheme="minorHAnsi"/>
          <w:bCs/>
          <w:sz w:val="22"/>
          <w:szCs w:val="22"/>
        </w:rPr>
      </w:pPr>
    </w:p>
    <w:p w14:paraId="794BE856" w14:textId="522528AD" w:rsidR="00F26919" w:rsidRPr="005E7C49" w:rsidRDefault="00F26919" w:rsidP="005E7C49">
      <w:pPr>
        <w:tabs>
          <w:tab w:val="right" w:pos="6480"/>
        </w:tabs>
        <w:jc w:val="both"/>
        <w:rPr>
          <w:rFonts w:asciiTheme="minorHAnsi" w:hAnsiTheme="minorHAnsi" w:cstheme="minorHAnsi"/>
          <w:sz w:val="22"/>
          <w:szCs w:val="22"/>
        </w:rPr>
      </w:pPr>
      <w:r w:rsidRPr="005E7C49">
        <w:rPr>
          <w:rFonts w:asciiTheme="minorHAnsi" w:hAnsiTheme="minorHAnsi" w:cstheme="minorHAnsi"/>
          <w:b/>
          <w:sz w:val="22"/>
          <w:szCs w:val="22"/>
        </w:rPr>
        <w:t xml:space="preserve">*Rapporto Puglia </w:t>
      </w:r>
      <w:r w:rsidRPr="005E7C49">
        <w:rPr>
          <w:rFonts w:asciiTheme="minorHAnsi" w:hAnsiTheme="minorHAnsi" w:cstheme="minorHAnsi"/>
          <w:sz w:val="22"/>
          <w:szCs w:val="22"/>
        </w:rPr>
        <w:t>... / IPRES, Istituto pugliese di ricerche economiche e sociali. – 2015-</w:t>
      </w:r>
      <w:r w:rsidR="00BB7760" w:rsidRPr="005E7C49">
        <w:rPr>
          <w:rFonts w:asciiTheme="minorHAnsi" w:hAnsiTheme="minorHAnsi" w:cstheme="minorHAnsi"/>
          <w:sz w:val="22"/>
          <w:szCs w:val="22"/>
        </w:rPr>
        <w:t xml:space="preserve">    </w:t>
      </w:r>
      <w:r w:rsidRPr="005E7C49">
        <w:rPr>
          <w:rFonts w:asciiTheme="minorHAnsi" w:hAnsiTheme="minorHAnsi" w:cstheme="minorHAnsi"/>
          <w:sz w:val="22"/>
          <w:szCs w:val="22"/>
        </w:rPr>
        <w:t>. - Bari : Cacucci, 2015-</w:t>
      </w:r>
      <w:r w:rsidR="00BB7760" w:rsidRPr="005E7C49">
        <w:rPr>
          <w:rFonts w:asciiTheme="minorHAnsi" w:hAnsiTheme="minorHAnsi" w:cstheme="minorHAnsi"/>
          <w:sz w:val="22"/>
          <w:szCs w:val="22"/>
        </w:rPr>
        <w:t xml:space="preserve">    </w:t>
      </w:r>
      <w:r w:rsidRPr="005E7C49">
        <w:rPr>
          <w:rFonts w:asciiTheme="minorHAnsi" w:hAnsiTheme="minorHAnsi" w:cstheme="minorHAnsi"/>
          <w:sz w:val="22"/>
          <w:szCs w:val="22"/>
        </w:rPr>
        <w:t xml:space="preserve">. – volumi ; 24 cm. ((Annuale; biennale 2019-2020. – Disponibile anche in Internet a: </w:t>
      </w:r>
      <w:hyperlink r:id="rId12" w:history="1">
        <w:r w:rsidRPr="005E7C49">
          <w:rPr>
            <w:rStyle w:val="Collegamentoipertestuale"/>
            <w:rFonts w:asciiTheme="minorHAnsi" w:hAnsiTheme="minorHAnsi" w:cstheme="minorHAnsi"/>
            <w:sz w:val="22"/>
            <w:szCs w:val="22"/>
          </w:rPr>
          <w:t>https://www.ipres.it/it/component/k2/itemlist/category/2-rapporto-puglia</w:t>
        </w:r>
      </w:hyperlink>
      <w:r w:rsidRPr="005E7C49">
        <w:rPr>
          <w:rFonts w:asciiTheme="minorHAnsi" w:hAnsiTheme="minorHAnsi" w:cstheme="minorHAnsi"/>
          <w:sz w:val="22"/>
          <w:szCs w:val="22"/>
        </w:rPr>
        <w:t>. - CFI0924728</w:t>
      </w:r>
    </w:p>
    <w:p w14:paraId="7ECACFA4" w14:textId="77777777" w:rsidR="00A8612F" w:rsidRPr="005E7C49" w:rsidRDefault="00A8612F" w:rsidP="00A8612F">
      <w:pPr>
        <w:tabs>
          <w:tab w:val="right" w:pos="6480"/>
        </w:tabs>
        <w:jc w:val="both"/>
        <w:rPr>
          <w:rFonts w:asciiTheme="minorHAnsi" w:hAnsiTheme="minorHAnsi" w:cstheme="minorHAnsi"/>
          <w:sz w:val="22"/>
          <w:szCs w:val="22"/>
        </w:rPr>
      </w:pPr>
      <w:r w:rsidRPr="005E7C49">
        <w:rPr>
          <w:rFonts w:asciiTheme="minorHAnsi" w:hAnsiTheme="minorHAnsi" w:cstheme="minorHAnsi"/>
          <w:sz w:val="22"/>
          <w:szCs w:val="22"/>
        </w:rPr>
        <w:t>Autore: IPRES</w:t>
      </w:r>
    </w:p>
    <w:p w14:paraId="7D8254FF" w14:textId="77777777" w:rsidR="00F26919" w:rsidRPr="00A8612F" w:rsidRDefault="00F26919" w:rsidP="005E7C49">
      <w:pPr>
        <w:jc w:val="both"/>
        <w:rPr>
          <w:rFonts w:asciiTheme="minorHAnsi" w:hAnsiTheme="minorHAnsi" w:cstheme="minorHAnsi"/>
          <w:bCs/>
          <w:sz w:val="22"/>
          <w:szCs w:val="22"/>
        </w:rPr>
      </w:pPr>
    </w:p>
    <w:p w14:paraId="2A520393" w14:textId="7ECF1F31" w:rsidR="00F26919" w:rsidRPr="005E7C49" w:rsidRDefault="00F26919" w:rsidP="005E7C49">
      <w:pPr>
        <w:jc w:val="both"/>
        <w:rPr>
          <w:rFonts w:asciiTheme="minorHAnsi" w:hAnsiTheme="minorHAnsi" w:cstheme="minorHAnsi"/>
          <w:sz w:val="22"/>
          <w:szCs w:val="22"/>
        </w:rPr>
      </w:pPr>
      <w:r w:rsidRPr="005E7C49">
        <w:rPr>
          <w:rFonts w:asciiTheme="minorHAnsi" w:hAnsiTheme="minorHAnsi" w:cstheme="minorHAnsi"/>
          <w:b/>
          <w:sz w:val="22"/>
          <w:szCs w:val="22"/>
        </w:rPr>
        <w:t>*Relazione economica e sociale</w:t>
      </w:r>
      <w:r w:rsidRPr="005E7C49">
        <w:rPr>
          <w:rFonts w:asciiTheme="minorHAnsi" w:hAnsiTheme="minorHAnsi" w:cstheme="minorHAnsi"/>
          <w:sz w:val="22"/>
          <w:szCs w:val="22"/>
        </w:rPr>
        <w:t xml:space="preserve"> ... / Fondazione IPRES, Istituto pugliese di ricerche economiche e sociali. - 202</w:t>
      </w:r>
      <w:r w:rsidR="00BB7760" w:rsidRPr="005E7C49">
        <w:rPr>
          <w:rFonts w:asciiTheme="minorHAnsi" w:hAnsiTheme="minorHAnsi" w:cstheme="minorHAnsi"/>
          <w:sz w:val="22"/>
          <w:szCs w:val="22"/>
        </w:rPr>
        <w:t>0</w:t>
      </w:r>
      <w:r w:rsidRPr="005E7C49">
        <w:rPr>
          <w:rFonts w:asciiTheme="minorHAnsi" w:hAnsiTheme="minorHAnsi" w:cstheme="minorHAnsi"/>
          <w:sz w:val="22"/>
          <w:szCs w:val="22"/>
        </w:rPr>
        <w:t>-</w:t>
      </w:r>
      <w:r w:rsidR="00A8612F">
        <w:rPr>
          <w:rFonts w:asciiTheme="minorHAnsi" w:hAnsiTheme="minorHAnsi" w:cstheme="minorHAnsi"/>
          <w:sz w:val="22"/>
          <w:szCs w:val="22"/>
        </w:rPr>
        <w:t>2021</w:t>
      </w:r>
      <w:r w:rsidRPr="005E7C49">
        <w:rPr>
          <w:rFonts w:asciiTheme="minorHAnsi" w:hAnsiTheme="minorHAnsi" w:cstheme="minorHAnsi"/>
          <w:sz w:val="22"/>
          <w:szCs w:val="22"/>
        </w:rPr>
        <w:t>. - Bari : Cacucci, 202</w:t>
      </w:r>
      <w:r w:rsidR="00BB7760" w:rsidRPr="005E7C49">
        <w:rPr>
          <w:rFonts w:asciiTheme="minorHAnsi" w:hAnsiTheme="minorHAnsi" w:cstheme="minorHAnsi"/>
          <w:sz w:val="22"/>
          <w:szCs w:val="22"/>
        </w:rPr>
        <w:t>0</w:t>
      </w:r>
      <w:r w:rsidRPr="005E7C49">
        <w:rPr>
          <w:rFonts w:asciiTheme="minorHAnsi" w:hAnsiTheme="minorHAnsi" w:cstheme="minorHAnsi"/>
          <w:sz w:val="22"/>
          <w:szCs w:val="22"/>
        </w:rPr>
        <w:t>-</w:t>
      </w:r>
      <w:r w:rsidR="00A8612F">
        <w:rPr>
          <w:rFonts w:asciiTheme="minorHAnsi" w:hAnsiTheme="minorHAnsi" w:cstheme="minorHAnsi"/>
          <w:sz w:val="22"/>
          <w:szCs w:val="22"/>
        </w:rPr>
        <w:t>2021</w:t>
      </w:r>
      <w:r w:rsidRPr="005E7C49">
        <w:rPr>
          <w:rFonts w:asciiTheme="minorHAnsi" w:hAnsiTheme="minorHAnsi" w:cstheme="minorHAnsi"/>
          <w:sz w:val="22"/>
          <w:szCs w:val="22"/>
        </w:rPr>
        <w:t xml:space="preserve">. </w:t>
      </w:r>
      <w:r w:rsidR="00A8612F">
        <w:rPr>
          <w:rFonts w:asciiTheme="minorHAnsi" w:hAnsiTheme="minorHAnsi" w:cstheme="minorHAnsi"/>
          <w:sz w:val="22"/>
          <w:szCs w:val="22"/>
        </w:rPr>
        <w:t>–</w:t>
      </w:r>
      <w:r w:rsidRPr="005E7C49">
        <w:rPr>
          <w:rFonts w:asciiTheme="minorHAnsi" w:hAnsiTheme="minorHAnsi" w:cstheme="minorHAnsi"/>
          <w:sz w:val="22"/>
          <w:szCs w:val="22"/>
        </w:rPr>
        <w:t xml:space="preserve"> </w:t>
      </w:r>
      <w:r w:rsidR="00A8612F">
        <w:rPr>
          <w:rFonts w:asciiTheme="minorHAnsi" w:hAnsiTheme="minorHAnsi" w:cstheme="minorHAnsi"/>
          <w:sz w:val="22"/>
          <w:szCs w:val="22"/>
        </w:rPr>
        <w:t xml:space="preserve">2 </w:t>
      </w:r>
      <w:r w:rsidRPr="005E7C49">
        <w:rPr>
          <w:rFonts w:asciiTheme="minorHAnsi" w:hAnsiTheme="minorHAnsi" w:cstheme="minorHAnsi"/>
          <w:sz w:val="22"/>
          <w:szCs w:val="22"/>
        </w:rPr>
        <w:t xml:space="preserve">volumi : 24 cm. ((Annuale. – Disponibile anche in Internet a: </w:t>
      </w:r>
      <w:hyperlink r:id="rId13" w:anchor="sort=created_date&amp;sortdir=desc" w:history="1">
        <w:r w:rsidR="00BB7760" w:rsidRPr="005E7C49">
          <w:rPr>
            <w:rStyle w:val="Collegamentoipertestuale"/>
            <w:rFonts w:asciiTheme="minorHAnsi" w:hAnsiTheme="minorHAnsi" w:cstheme="minorHAnsi"/>
            <w:sz w:val="22"/>
            <w:szCs w:val="22"/>
          </w:rPr>
          <w:t>https://www.ipres.it/it/pubblicazioni-e-ricerc</w:t>
        </w:r>
        <w:r w:rsidR="00BB7760" w:rsidRPr="005E7C49">
          <w:rPr>
            <w:rStyle w:val="Collegamentoipertestuale"/>
            <w:rFonts w:asciiTheme="minorHAnsi" w:hAnsiTheme="minorHAnsi" w:cstheme="minorHAnsi"/>
            <w:sz w:val="22"/>
            <w:szCs w:val="22"/>
          </w:rPr>
          <w:t>he#sort=created_date&amp;sortdir=desc</w:t>
        </w:r>
      </w:hyperlink>
      <w:r w:rsidR="00BB7760" w:rsidRPr="005E7C49">
        <w:rPr>
          <w:rFonts w:asciiTheme="minorHAnsi" w:hAnsiTheme="minorHAnsi" w:cstheme="minorHAnsi"/>
          <w:sz w:val="22"/>
          <w:szCs w:val="22"/>
        </w:rPr>
        <w:t>.</w:t>
      </w:r>
      <w:r w:rsidRPr="005E7C49">
        <w:rPr>
          <w:rFonts w:asciiTheme="minorHAnsi" w:hAnsiTheme="minorHAnsi" w:cstheme="minorHAnsi"/>
          <w:sz w:val="22"/>
          <w:szCs w:val="22"/>
        </w:rPr>
        <w:t xml:space="preserve"> - BVE0881273</w:t>
      </w:r>
    </w:p>
    <w:p w14:paraId="458CCE33" w14:textId="524DCAD4" w:rsidR="00A8612F" w:rsidRPr="005E7C49" w:rsidRDefault="00A8612F" w:rsidP="00A8612F">
      <w:pPr>
        <w:tabs>
          <w:tab w:val="right" w:pos="6480"/>
        </w:tabs>
        <w:jc w:val="both"/>
        <w:rPr>
          <w:rFonts w:asciiTheme="minorHAnsi" w:hAnsiTheme="minorHAnsi" w:cstheme="minorHAnsi"/>
          <w:sz w:val="22"/>
          <w:szCs w:val="22"/>
        </w:rPr>
      </w:pPr>
      <w:r w:rsidRPr="005E7C49">
        <w:rPr>
          <w:rFonts w:asciiTheme="minorHAnsi" w:hAnsiTheme="minorHAnsi" w:cstheme="minorHAnsi"/>
          <w:sz w:val="22"/>
          <w:szCs w:val="22"/>
        </w:rPr>
        <w:t xml:space="preserve">Autore: </w:t>
      </w:r>
      <w:r>
        <w:rPr>
          <w:rFonts w:asciiTheme="minorHAnsi" w:hAnsiTheme="minorHAnsi" w:cstheme="minorHAnsi"/>
          <w:sz w:val="22"/>
          <w:szCs w:val="22"/>
        </w:rPr>
        <w:t xml:space="preserve">Fondazione </w:t>
      </w:r>
      <w:r w:rsidRPr="005E7C49">
        <w:rPr>
          <w:rFonts w:asciiTheme="minorHAnsi" w:hAnsiTheme="minorHAnsi" w:cstheme="minorHAnsi"/>
          <w:sz w:val="22"/>
          <w:szCs w:val="22"/>
        </w:rPr>
        <w:t>IPRES</w:t>
      </w:r>
    </w:p>
    <w:p w14:paraId="062F1B57" w14:textId="77777777" w:rsidR="00F26919" w:rsidRPr="005E7C49" w:rsidRDefault="00F26919" w:rsidP="005E7C49">
      <w:pPr>
        <w:tabs>
          <w:tab w:val="right" w:pos="6480"/>
        </w:tabs>
        <w:jc w:val="both"/>
        <w:rPr>
          <w:rFonts w:asciiTheme="minorHAnsi" w:hAnsiTheme="minorHAnsi" w:cstheme="minorHAnsi"/>
          <w:sz w:val="22"/>
          <w:szCs w:val="22"/>
        </w:rPr>
      </w:pPr>
    </w:p>
    <w:p w14:paraId="18EEF1D7" w14:textId="6449D69F" w:rsidR="00A8612F" w:rsidRPr="005E7C49" w:rsidRDefault="00A8612F" w:rsidP="00A8612F">
      <w:pPr>
        <w:jc w:val="both"/>
        <w:rPr>
          <w:rFonts w:asciiTheme="minorHAnsi" w:hAnsiTheme="minorHAnsi" w:cstheme="minorHAnsi"/>
          <w:sz w:val="22"/>
          <w:szCs w:val="22"/>
        </w:rPr>
      </w:pPr>
      <w:r w:rsidRPr="005E7C49">
        <w:rPr>
          <w:rFonts w:asciiTheme="minorHAnsi" w:hAnsiTheme="minorHAnsi" w:cstheme="minorHAnsi"/>
          <w:b/>
          <w:sz w:val="22"/>
          <w:szCs w:val="22"/>
        </w:rPr>
        <w:t xml:space="preserve">*Relazione economica </w:t>
      </w:r>
      <w:r>
        <w:rPr>
          <w:rFonts w:asciiTheme="minorHAnsi" w:hAnsiTheme="minorHAnsi" w:cstheme="minorHAnsi"/>
          <w:b/>
          <w:sz w:val="22"/>
          <w:szCs w:val="22"/>
        </w:rPr>
        <w:t xml:space="preserve">ambientale </w:t>
      </w:r>
      <w:r w:rsidRPr="005E7C49">
        <w:rPr>
          <w:rFonts w:asciiTheme="minorHAnsi" w:hAnsiTheme="minorHAnsi" w:cstheme="minorHAnsi"/>
          <w:b/>
          <w:sz w:val="22"/>
          <w:szCs w:val="22"/>
        </w:rPr>
        <w:t>e sociale</w:t>
      </w:r>
      <w:r w:rsidRPr="005E7C49">
        <w:rPr>
          <w:rFonts w:asciiTheme="minorHAnsi" w:hAnsiTheme="minorHAnsi" w:cstheme="minorHAnsi"/>
          <w:sz w:val="22"/>
          <w:szCs w:val="22"/>
        </w:rPr>
        <w:t xml:space="preserve"> ... / Fondazione IPRES, Istituto pugliese di ricerche economiche e sociali. - 202</w:t>
      </w:r>
      <w:r>
        <w:rPr>
          <w:rFonts w:asciiTheme="minorHAnsi" w:hAnsiTheme="minorHAnsi" w:cstheme="minorHAnsi"/>
          <w:sz w:val="22"/>
          <w:szCs w:val="22"/>
        </w:rPr>
        <w:t>2</w:t>
      </w:r>
      <w:r w:rsidRPr="005E7C49">
        <w:rPr>
          <w:rFonts w:asciiTheme="minorHAnsi" w:hAnsiTheme="minorHAnsi" w:cstheme="minorHAnsi"/>
          <w:sz w:val="22"/>
          <w:szCs w:val="22"/>
        </w:rPr>
        <w:t>-</w:t>
      </w:r>
      <w:r>
        <w:rPr>
          <w:rFonts w:asciiTheme="minorHAnsi" w:hAnsiTheme="minorHAnsi" w:cstheme="minorHAnsi"/>
          <w:sz w:val="22"/>
          <w:szCs w:val="22"/>
        </w:rPr>
        <w:t xml:space="preserve">    </w:t>
      </w:r>
      <w:r w:rsidRPr="005E7C49">
        <w:rPr>
          <w:rFonts w:asciiTheme="minorHAnsi" w:hAnsiTheme="minorHAnsi" w:cstheme="minorHAnsi"/>
          <w:sz w:val="22"/>
          <w:szCs w:val="22"/>
        </w:rPr>
        <w:t>. - Bari : Cacucci, 202</w:t>
      </w:r>
      <w:r>
        <w:rPr>
          <w:rFonts w:asciiTheme="minorHAnsi" w:hAnsiTheme="minorHAnsi" w:cstheme="minorHAnsi"/>
          <w:sz w:val="22"/>
          <w:szCs w:val="22"/>
        </w:rPr>
        <w:t xml:space="preserve">2-    </w:t>
      </w:r>
      <w:r w:rsidRPr="005E7C49">
        <w:rPr>
          <w:rFonts w:asciiTheme="minorHAnsi" w:hAnsiTheme="minorHAnsi" w:cstheme="minorHAnsi"/>
          <w:sz w:val="22"/>
          <w:szCs w:val="22"/>
        </w:rPr>
        <w:t xml:space="preserve">. </w:t>
      </w:r>
      <w:r>
        <w:rPr>
          <w:rFonts w:asciiTheme="minorHAnsi" w:hAnsiTheme="minorHAnsi" w:cstheme="minorHAnsi"/>
          <w:sz w:val="22"/>
          <w:szCs w:val="22"/>
        </w:rPr>
        <w:t>–</w:t>
      </w:r>
      <w:r w:rsidRPr="005E7C49">
        <w:rPr>
          <w:rFonts w:asciiTheme="minorHAnsi" w:hAnsiTheme="minorHAnsi" w:cstheme="minorHAnsi"/>
          <w:sz w:val="22"/>
          <w:szCs w:val="22"/>
        </w:rPr>
        <w:t xml:space="preserve"> volumi : 24 cm. ((Annuale. – Disponibile anche in Internet a: </w:t>
      </w:r>
      <w:hyperlink r:id="rId14" w:anchor="sort=created_date&amp;sortdir=desc" w:history="1">
        <w:r w:rsidRPr="005E7C49">
          <w:rPr>
            <w:rStyle w:val="Collegamentoipertestuale"/>
            <w:rFonts w:asciiTheme="minorHAnsi" w:hAnsiTheme="minorHAnsi" w:cstheme="minorHAnsi"/>
            <w:sz w:val="22"/>
            <w:szCs w:val="22"/>
          </w:rPr>
          <w:t>https://www.ipres.it/it/pubblicazioni-e-ricerche#sort=created_date&amp;sortdir=desc</w:t>
        </w:r>
      </w:hyperlink>
      <w:r w:rsidRPr="005E7C49">
        <w:rPr>
          <w:rFonts w:asciiTheme="minorHAnsi" w:hAnsiTheme="minorHAnsi" w:cstheme="minorHAnsi"/>
          <w:sz w:val="22"/>
          <w:szCs w:val="22"/>
        </w:rPr>
        <w:t xml:space="preserve">. - </w:t>
      </w:r>
      <w:r w:rsidRPr="00A8612F">
        <w:rPr>
          <w:rFonts w:asciiTheme="minorHAnsi" w:hAnsiTheme="minorHAnsi" w:cstheme="minorHAnsi"/>
          <w:sz w:val="22"/>
          <w:szCs w:val="22"/>
        </w:rPr>
        <w:t>CFI1126885</w:t>
      </w:r>
    </w:p>
    <w:p w14:paraId="5DD01A6F" w14:textId="77777777" w:rsidR="00A8612F" w:rsidRPr="005E7C49" w:rsidRDefault="00A8612F" w:rsidP="00A8612F">
      <w:pPr>
        <w:tabs>
          <w:tab w:val="right" w:pos="6480"/>
        </w:tabs>
        <w:jc w:val="both"/>
        <w:rPr>
          <w:rFonts w:asciiTheme="minorHAnsi" w:hAnsiTheme="minorHAnsi" w:cstheme="minorHAnsi"/>
          <w:sz w:val="22"/>
          <w:szCs w:val="22"/>
        </w:rPr>
      </w:pPr>
      <w:r w:rsidRPr="005E7C49">
        <w:rPr>
          <w:rFonts w:asciiTheme="minorHAnsi" w:hAnsiTheme="minorHAnsi" w:cstheme="minorHAnsi"/>
          <w:sz w:val="22"/>
          <w:szCs w:val="22"/>
        </w:rPr>
        <w:t xml:space="preserve">Autore: </w:t>
      </w:r>
      <w:r>
        <w:rPr>
          <w:rFonts w:asciiTheme="minorHAnsi" w:hAnsiTheme="minorHAnsi" w:cstheme="minorHAnsi"/>
          <w:sz w:val="22"/>
          <w:szCs w:val="22"/>
        </w:rPr>
        <w:t xml:space="preserve">Fondazione </w:t>
      </w:r>
      <w:r w:rsidRPr="005E7C49">
        <w:rPr>
          <w:rFonts w:asciiTheme="minorHAnsi" w:hAnsiTheme="minorHAnsi" w:cstheme="minorHAnsi"/>
          <w:sz w:val="22"/>
          <w:szCs w:val="22"/>
        </w:rPr>
        <w:t>IPRES</w:t>
      </w:r>
    </w:p>
    <w:p w14:paraId="6EC7EA58" w14:textId="77777777" w:rsidR="00A8612F" w:rsidRDefault="00A8612F" w:rsidP="005E7C49">
      <w:pPr>
        <w:tabs>
          <w:tab w:val="right" w:pos="6480"/>
        </w:tabs>
        <w:jc w:val="both"/>
        <w:rPr>
          <w:rFonts w:asciiTheme="minorHAnsi" w:hAnsiTheme="minorHAnsi" w:cstheme="minorHAnsi"/>
          <w:sz w:val="22"/>
          <w:szCs w:val="22"/>
        </w:rPr>
      </w:pPr>
    </w:p>
    <w:p w14:paraId="3FAB473F" w14:textId="77777777" w:rsidR="00F26919" w:rsidRPr="005E7C49" w:rsidRDefault="00F26919" w:rsidP="005E7C49">
      <w:pPr>
        <w:jc w:val="both"/>
        <w:rPr>
          <w:rFonts w:asciiTheme="minorHAnsi" w:hAnsiTheme="minorHAnsi" w:cstheme="minorHAnsi"/>
          <w:sz w:val="22"/>
          <w:szCs w:val="22"/>
        </w:rPr>
      </w:pPr>
      <w:r w:rsidRPr="005E7C49">
        <w:rPr>
          <w:rFonts w:asciiTheme="minorHAnsi" w:hAnsiTheme="minorHAnsi" w:cstheme="minorHAnsi"/>
          <w:sz w:val="22"/>
          <w:szCs w:val="22"/>
        </w:rPr>
        <w:t>Soggetto: Puglia - Condizioni economiche e sociali - Dati statistici – Periodici</w:t>
      </w:r>
    </w:p>
    <w:p w14:paraId="28D903BF" w14:textId="6B405587" w:rsidR="00F26919" w:rsidRPr="005E7C49" w:rsidRDefault="00F26919" w:rsidP="005E7C49">
      <w:pPr>
        <w:jc w:val="both"/>
        <w:rPr>
          <w:rFonts w:asciiTheme="minorHAnsi" w:hAnsiTheme="minorHAnsi" w:cstheme="minorHAnsi"/>
          <w:sz w:val="22"/>
          <w:szCs w:val="22"/>
        </w:rPr>
      </w:pPr>
      <w:r w:rsidRPr="005E7C49">
        <w:rPr>
          <w:rFonts w:asciiTheme="minorHAnsi" w:hAnsiTheme="minorHAnsi" w:cstheme="minorHAnsi"/>
          <w:sz w:val="22"/>
          <w:szCs w:val="22"/>
        </w:rPr>
        <w:t>Classe: D330.94575</w:t>
      </w:r>
    </w:p>
    <w:p w14:paraId="1E1E0578" w14:textId="00C495F4" w:rsidR="00BB7760" w:rsidRPr="005E7C49" w:rsidRDefault="00BB7760" w:rsidP="005E7C49">
      <w:pPr>
        <w:jc w:val="both"/>
        <w:rPr>
          <w:rFonts w:asciiTheme="minorHAnsi" w:hAnsiTheme="minorHAnsi" w:cstheme="minorHAnsi"/>
          <w:sz w:val="22"/>
          <w:szCs w:val="22"/>
        </w:rPr>
      </w:pPr>
    </w:p>
    <w:p w14:paraId="10B95E73" w14:textId="633FD4A4" w:rsidR="00BB7760" w:rsidRPr="005E7C49" w:rsidRDefault="00BB7760" w:rsidP="005E7C49">
      <w:pPr>
        <w:jc w:val="both"/>
        <w:rPr>
          <w:rFonts w:asciiTheme="minorHAnsi" w:hAnsiTheme="minorHAnsi" w:cstheme="minorHAnsi"/>
          <w:b/>
          <w:bCs/>
          <w:color w:val="C00000"/>
          <w:sz w:val="44"/>
          <w:szCs w:val="44"/>
        </w:rPr>
      </w:pPr>
      <w:r w:rsidRPr="005E7C49">
        <w:rPr>
          <w:rFonts w:asciiTheme="minorHAnsi" w:hAnsiTheme="minorHAnsi" w:cstheme="minorHAnsi"/>
          <w:b/>
          <w:bCs/>
          <w:color w:val="C00000"/>
          <w:sz w:val="44"/>
          <w:szCs w:val="44"/>
        </w:rPr>
        <w:lastRenderedPageBreak/>
        <w:t>Informazioni storico-bibliografiche</w:t>
      </w:r>
    </w:p>
    <w:p w14:paraId="20CE229D" w14:textId="6694ABCC" w:rsidR="005E7C49" w:rsidRPr="005E7C49" w:rsidRDefault="005E7C49" w:rsidP="005E7C49">
      <w:pPr>
        <w:pStyle w:val="NormaleWeb"/>
        <w:spacing w:before="0" w:beforeAutospacing="0" w:after="0" w:afterAutospacing="0"/>
        <w:jc w:val="both"/>
        <w:rPr>
          <w:rFonts w:asciiTheme="minorHAnsi" w:hAnsiTheme="minorHAnsi" w:cstheme="minorHAnsi"/>
          <w:sz w:val="22"/>
          <w:szCs w:val="22"/>
        </w:rPr>
      </w:pPr>
      <w:r w:rsidRPr="005E7C49">
        <w:rPr>
          <w:rFonts w:asciiTheme="minorHAnsi" w:hAnsiTheme="minorHAnsi" w:cstheme="minorHAnsi"/>
          <w:sz w:val="22"/>
          <w:szCs w:val="22"/>
        </w:rPr>
        <w:t xml:space="preserve">La </w:t>
      </w:r>
      <w:hyperlink r:id="rId15" w:tgtFrame="_blank" w:history="1">
        <w:r w:rsidRPr="005E7C49">
          <w:rPr>
            <w:rStyle w:val="Enfasigrassetto"/>
            <w:rFonts w:asciiTheme="minorHAnsi" w:hAnsiTheme="minorHAnsi" w:cstheme="minorHAnsi"/>
            <w:color w:val="0000FF"/>
            <w:sz w:val="22"/>
            <w:szCs w:val="22"/>
            <w:u w:val="single"/>
          </w:rPr>
          <w:t>Fondazione IPRES,</w:t>
        </w:r>
      </w:hyperlink>
      <w:r w:rsidRPr="005E7C49">
        <w:rPr>
          <w:rFonts w:asciiTheme="minorHAnsi" w:hAnsiTheme="minorHAnsi" w:cstheme="minorHAnsi"/>
          <w:sz w:val="22"/>
          <w:szCs w:val="22"/>
        </w:rPr>
        <w:t xml:space="preserve"> ente in house della Regione Puglia, ha pubblicato il </w:t>
      </w:r>
      <w:r w:rsidRPr="005E7C49">
        <w:rPr>
          <w:rStyle w:val="Enfasigrassetto"/>
          <w:rFonts w:asciiTheme="minorHAnsi" w:hAnsiTheme="minorHAnsi" w:cstheme="minorHAnsi"/>
          <w:sz w:val="22"/>
          <w:szCs w:val="22"/>
        </w:rPr>
        <w:t>Rapporto Puglia 2021</w:t>
      </w:r>
      <w:r w:rsidRPr="005E7C49">
        <w:rPr>
          <w:rFonts w:asciiTheme="minorHAnsi" w:hAnsiTheme="minorHAnsi" w:cstheme="minorHAnsi"/>
          <w:sz w:val="22"/>
          <w:szCs w:val="22"/>
        </w:rPr>
        <w:t>, il documento che annualmente focalizza l'attenzione sullo studio delle politiche regionali, con lo scopo di coglierne le specificità ed evidenziarne i risultati e l'obiettivo di favorire il dibattito e l'approfondimento, per ricercare in modo attivo il miglioramento continuo delle politiche di intervento.</w:t>
      </w:r>
      <w:r w:rsidR="00A8612F">
        <w:rPr>
          <w:rFonts w:asciiTheme="minorHAnsi" w:hAnsiTheme="minorHAnsi" w:cstheme="minorHAnsi"/>
          <w:sz w:val="22"/>
          <w:szCs w:val="22"/>
        </w:rPr>
        <w:t xml:space="preserve"> </w:t>
      </w:r>
      <w:r w:rsidRPr="005E7C49">
        <w:rPr>
          <w:rFonts w:asciiTheme="minorHAnsi" w:hAnsiTheme="minorHAnsi" w:cstheme="minorHAnsi"/>
          <w:sz w:val="22"/>
          <w:szCs w:val="22"/>
        </w:rPr>
        <w:t xml:space="preserve">L'approccio adottato è quello della </w:t>
      </w:r>
      <w:r w:rsidRPr="005E7C49">
        <w:rPr>
          <w:rStyle w:val="Enfasigrassetto"/>
          <w:rFonts w:asciiTheme="minorHAnsi" w:hAnsiTheme="minorHAnsi" w:cstheme="minorHAnsi"/>
          <w:i/>
          <w:iCs/>
          <w:sz w:val="22"/>
          <w:szCs w:val="22"/>
        </w:rPr>
        <w:t>"policy analysis"</w:t>
      </w:r>
      <w:r w:rsidRPr="005E7C49">
        <w:rPr>
          <w:rFonts w:asciiTheme="minorHAnsi" w:hAnsiTheme="minorHAnsi" w:cstheme="minorHAnsi"/>
          <w:sz w:val="22"/>
          <w:szCs w:val="22"/>
        </w:rPr>
        <w:t xml:space="preserve">  che si concentra sulla diagnosi e l'individuazione delle soluzioni, piuttosto che sullo studio speculativo delle politiche regionali. Questo ha portato a individuare un ristretto numero di</w:t>
      </w:r>
      <w:r w:rsidRPr="005E7C49">
        <w:rPr>
          <w:rStyle w:val="Enfasigrassetto"/>
          <w:rFonts w:asciiTheme="minorHAnsi" w:hAnsiTheme="minorHAnsi" w:cstheme="minorHAnsi"/>
          <w:sz w:val="22"/>
          <w:szCs w:val="22"/>
        </w:rPr>
        <w:t xml:space="preserve"> "priorità trasversali" (giovani, parita di genere, superamento dei divari)</w:t>
      </w:r>
      <w:r w:rsidRPr="005E7C49">
        <w:rPr>
          <w:rFonts w:asciiTheme="minorHAnsi" w:hAnsiTheme="minorHAnsi" w:cstheme="minorHAnsi"/>
          <w:sz w:val="22"/>
          <w:szCs w:val="22"/>
        </w:rPr>
        <w:t xml:space="preserve"> e alcune </w:t>
      </w:r>
      <w:r w:rsidRPr="005E7C49">
        <w:rPr>
          <w:rStyle w:val="Enfasigrassetto"/>
          <w:rFonts w:asciiTheme="minorHAnsi" w:hAnsiTheme="minorHAnsi" w:cstheme="minorHAnsi"/>
          <w:sz w:val="22"/>
          <w:szCs w:val="22"/>
        </w:rPr>
        <w:t>missioni</w:t>
      </w:r>
      <w:r w:rsidRPr="005E7C49">
        <w:rPr>
          <w:rFonts w:asciiTheme="minorHAnsi" w:hAnsiTheme="minorHAnsi" w:cstheme="minorHAnsi"/>
          <w:sz w:val="22"/>
          <w:szCs w:val="22"/>
        </w:rPr>
        <w:t>, peraltro individuate dal PNRR  </w:t>
      </w:r>
      <w:r w:rsidRPr="005E7C49">
        <w:rPr>
          <w:rStyle w:val="Enfasigrassetto"/>
          <w:rFonts w:asciiTheme="minorHAnsi" w:hAnsiTheme="minorHAnsi" w:cstheme="minorHAnsi"/>
          <w:sz w:val="22"/>
          <w:szCs w:val="22"/>
        </w:rPr>
        <w:t>(digitalizzazione, transizione ecologica, mobilita sostenibile, ricerca, inclusione e salute)</w:t>
      </w:r>
      <w:r w:rsidRPr="005E7C49">
        <w:rPr>
          <w:rFonts w:asciiTheme="minorHAnsi" w:hAnsiTheme="minorHAnsi" w:cstheme="minorHAnsi"/>
          <w:sz w:val="22"/>
          <w:szCs w:val="22"/>
        </w:rPr>
        <w:t xml:space="preserve"> sulle quali concentrare l'attenzione per rispondere ai fabbisogni di ammodernamento e innovazione dei processi di elaborazione e gestione delle politiche pubbliche.</w:t>
      </w:r>
      <w:r w:rsidR="00A8612F">
        <w:rPr>
          <w:rFonts w:asciiTheme="minorHAnsi" w:hAnsiTheme="minorHAnsi" w:cstheme="minorHAnsi"/>
          <w:sz w:val="22"/>
          <w:szCs w:val="22"/>
        </w:rPr>
        <w:t xml:space="preserve"> </w:t>
      </w:r>
      <w:r w:rsidRPr="005E7C49">
        <w:rPr>
          <w:rFonts w:asciiTheme="minorHAnsi" w:hAnsiTheme="minorHAnsi" w:cstheme="minorHAnsi"/>
          <w:sz w:val="22"/>
          <w:szCs w:val="22"/>
        </w:rPr>
        <w:t xml:space="preserve">Nel Rapporto il capitolo d'apertura esamina l'applicazione della </w:t>
      </w:r>
      <w:r w:rsidRPr="005E7C49">
        <w:rPr>
          <w:rStyle w:val="Enfasigrassetto"/>
          <w:rFonts w:asciiTheme="minorHAnsi" w:hAnsiTheme="minorHAnsi" w:cstheme="minorHAnsi"/>
          <w:sz w:val="22"/>
          <w:szCs w:val="22"/>
        </w:rPr>
        <w:t>legge regionale per la partecipazione</w:t>
      </w:r>
      <w:r w:rsidRPr="005E7C49">
        <w:rPr>
          <w:rFonts w:asciiTheme="minorHAnsi" w:hAnsiTheme="minorHAnsi" w:cstheme="minorHAnsi"/>
          <w:sz w:val="22"/>
          <w:szCs w:val="22"/>
        </w:rPr>
        <w:t>. La Puglia è una delle cinque Regioni italiane (con Toscana, Emilia-Romagna, Umbria e Marche) che hanno legiferato in questa materia e risulta tra le prime, dopo Emilia-Romagna e Toscana, per numero di processi partecipativi attivati.</w:t>
      </w:r>
      <w:r w:rsidR="00A8612F">
        <w:rPr>
          <w:rFonts w:asciiTheme="minorHAnsi" w:hAnsiTheme="minorHAnsi" w:cstheme="minorHAnsi"/>
          <w:sz w:val="22"/>
          <w:szCs w:val="22"/>
        </w:rPr>
        <w:t xml:space="preserve"> </w:t>
      </w:r>
      <w:r w:rsidRPr="005E7C49">
        <w:rPr>
          <w:rFonts w:asciiTheme="minorHAnsi" w:hAnsiTheme="minorHAnsi" w:cstheme="minorHAnsi"/>
          <w:sz w:val="22"/>
          <w:szCs w:val="22"/>
        </w:rPr>
        <w:t xml:space="preserve">Si propongono poi </w:t>
      </w:r>
      <w:r w:rsidRPr="005E7C49">
        <w:rPr>
          <w:rStyle w:val="Enfasigrassetto"/>
          <w:rFonts w:asciiTheme="minorHAnsi" w:hAnsiTheme="minorHAnsi" w:cstheme="minorHAnsi"/>
          <w:sz w:val="22"/>
          <w:szCs w:val="22"/>
        </w:rPr>
        <w:t>due nuovi studi sulle politiche di sviluppo del sistema industriale</w:t>
      </w:r>
      <w:r w:rsidRPr="005E7C49">
        <w:rPr>
          <w:rFonts w:asciiTheme="minorHAnsi" w:hAnsiTheme="minorHAnsi" w:cstheme="minorHAnsi"/>
          <w:sz w:val="22"/>
          <w:szCs w:val="22"/>
        </w:rPr>
        <w:t xml:space="preserve">: una analisi degli incentivi regionali della programmazione 2014-2020 per la ricerca, lo sviluppo e l'innovazione nelle imprese (capitolo 2) e l'approfondimento dello strumento finanziario </w:t>
      </w:r>
      <w:r w:rsidRPr="005E7C49">
        <w:rPr>
          <w:rStyle w:val="Enfasigrassetto"/>
          <w:rFonts w:asciiTheme="minorHAnsi" w:hAnsiTheme="minorHAnsi" w:cstheme="minorHAnsi"/>
          <w:sz w:val="22"/>
          <w:szCs w:val="22"/>
        </w:rPr>
        <w:t>"Fondo Minibond"</w:t>
      </w:r>
      <w:r w:rsidRPr="005E7C49">
        <w:rPr>
          <w:rFonts w:asciiTheme="minorHAnsi" w:hAnsiTheme="minorHAnsi" w:cstheme="minorHAnsi"/>
          <w:sz w:val="22"/>
          <w:szCs w:val="22"/>
        </w:rPr>
        <w:t>, avviato nel 2019 (capitolo 3).</w:t>
      </w:r>
      <w:r w:rsidR="00A8612F">
        <w:rPr>
          <w:rFonts w:asciiTheme="minorHAnsi" w:hAnsiTheme="minorHAnsi" w:cstheme="minorHAnsi"/>
          <w:sz w:val="22"/>
          <w:szCs w:val="22"/>
        </w:rPr>
        <w:t xml:space="preserve"> </w:t>
      </w:r>
      <w:r w:rsidRPr="005E7C49">
        <w:rPr>
          <w:rFonts w:asciiTheme="minorHAnsi" w:hAnsiTheme="minorHAnsi" w:cstheme="minorHAnsi"/>
          <w:sz w:val="22"/>
          <w:szCs w:val="22"/>
        </w:rPr>
        <w:t xml:space="preserve">Nel quarto capitolo si espone una ampia disamina delle politiche regionali per il </w:t>
      </w:r>
      <w:r w:rsidRPr="005E7C49">
        <w:rPr>
          <w:rStyle w:val="Enfasigrassetto"/>
          <w:rFonts w:asciiTheme="minorHAnsi" w:hAnsiTheme="minorHAnsi" w:cstheme="minorHAnsi"/>
          <w:sz w:val="22"/>
          <w:szCs w:val="22"/>
        </w:rPr>
        <w:t>contrasto al "caporalato"</w:t>
      </w:r>
      <w:r w:rsidRPr="005E7C49">
        <w:rPr>
          <w:rFonts w:asciiTheme="minorHAnsi" w:hAnsiTheme="minorHAnsi" w:cstheme="minorHAnsi"/>
          <w:sz w:val="22"/>
          <w:szCs w:val="22"/>
        </w:rPr>
        <w:t xml:space="preserve">; l'attenzione è rivolta agli interventi del progetto </w:t>
      </w:r>
      <w:r w:rsidRPr="005E7C49">
        <w:rPr>
          <w:rStyle w:val="Enfasigrassetto"/>
          <w:rFonts w:asciiTheme="minorHAnsi" w:hAnsiTheme="minorHAnsi" w:cstheme="minorHAnsi"/>
          <w:sz w:val="22"/>
          <w:szCs w:val="22"/>
        </w:rPr>
        <w:t>Su.pr.eme.</w:t>
      </w:r>
      <w:r w:rsidR="00A8612F">
        <w:rPr>
          <w:rStyle w:val="Enfasigrassetto"/>
          <w:rFonts w:asciiTheme="minorHAnsi" w:hAnsiTheme="minorHAnsi" w:cstheme="minorHAnsi"/>
          <w:sz w:val="22"/>
          <w:szCs w:val="22"/>
        </w:rPr>
        <w:t xml:space="preserve"> </w:t>
      </w:r>
      <w:r w:rsidRPr="005E7C49">
        <w:rPr>
          <w:rFonts w:asciiTheme="minorHAnsi" w:hAnsiTheme="minorHAnsi" w:cstheme="minorHAnsi"/>
          <w:sz w:val="22"/>
          <w:szCs w:val="22"/>
        </w:rPr>
        <w:t xml:space="preserve">Al </w:t>
      </w:r>
      <w:r w:rsidRPr="005E7C49">
        <w:rPr>
          <w:rStyle w:val="Enfasigrassetto"/>
          <w:rFonts w:asciiTheme="minorHAnsi" w:hAnsiTheme="minorHAnsi" w:cstheme="minorHAnsi"/>
          <w:sz w:val="22"/>
          <w:szCs w:val="22"/>
        </w:rPr>
        <w:t xml:space="preserve">piano nazionale per fronteggiare la Xylella </w:t>
      </w:r>
      <w:r w:rsidRPr="005E7C49">
        <w:rPr>
          <w:rFonts w:asciiTheme="minorHAnsi" w:hAnsiTheme="minorHAnsi" w:cstheme="minorHAnsi"/>
          <w:sz w:val="22"/>
          <w:szCs w:val="22"/>
        </w:rPr>
        <w:t>è riservato il quinto capitolo che si sofferma sulla misura destinata agli espianti delle piante colpite dal disseccamento ed al reimpianto.</w:t>
      </w:r>
      <w:r w:rsidR="00A8612F">
        <w:rPr>
          <w:rFonts w:asciiTheme="minorHAnsi" w:hAnsiTheme="minorHAnsi" w:cstheme="minorHAnsi"/>
          <w:sz w:val="22"/>
          <w:szCs w:val="22"/>
        </w:rPr>
        <w:t xml:space="preserve"> </w:t>
      </w:r>
      <w:r w:rsidRPr="005E7C49">
        <w:rPr>
          <w:rFonts w:asciiTheme="minorHAnsi" w:hAnsiTheme="minorHAnsi" w:cstheme="minorHAnsi"/>
          <w:sz w:val="22"/>
          <w:szCs w:val="22"/>
        </w:rPr>
        <w:t xml:space="preserve">Il volume contiene, infine (capitolo 6), una ricognizione delle valutazioni realizzate nell'ambito del </w:t>
      </w:r>
      <w:r w:rsidRPr="005E7C49">
        <w:rPr>
          <w:rStyle w:val="Enfasigrassetto"/>
          <w:rFonts w:asciiTheme="minorHAnsi" w:hAnsiTheme="minorHAnsi" w:cstheme="minorHAnsi"/>
          <w:sz w:val="22"/>
          <w:szCs w:val="22"/>
        </w:rPr>
        <w:t>Piano di valutazione POR Puglia FESR-FSE 2014-2020.</w:t>
      </w:r>
      <w:r w:rsidRPr="005E7C49">
        <w:rPr>
          <w:rFonts w:asciiTheme="minorHAnsi" w:hAnsiTheme="minorHAnsi" w:cstheme="minorHAnsi"/>
          <w:sz w:val="22"/>
          <w:szCs w:val="22"/>
        </w:rPr>
        <w:t xml:space="preserve"> Il lavoro svolge una disamina, puntuale e per ambito tematico, degli studi svolti ricercando le correlazioni dei risultati conseguiti con gli obiettivi di policy della programmazione 2021 – 2027.</w:t>
      </w:r>
      <w:r w:rsidR="00A8612F">
        <w:rPr>
          <w:rFonts w:asciiTheme="minorHAnsi" w:hAnsiTheme="minorHAnsi" w:cstheme="minorHAnsi"/>
          <w:sz w:val="22"/>
          <w:szCs w:val="22"/>
        </w:rPr>
        <w:t xml:space="preserve"> </w:t>
      </w:r>
      <w:r w:rsidRPr="005E7C49">
        <w:rPr>
          <w:rFonts w:asciiTheme="minorHAnsi" w:hAnsiTheme="minorHAnsi" w:cstheme="minorHAnsi"/>
          <w:sz w:val="22"/>
          <w:szCs w:val="22"/>
        </w:rPr>
        <w:t xml:space="preserve">In tutto il volume la Fondazione tende a favorire una </w:t>
      </w:r>
      <w:r w:rsidRPr="005E7C49">
        <w:rPr>
          <w:rStyle w:val="Enfasigrassetto"/>
          <w:rFonts w:asciiTheme="minorHAnsi" w:hAnsiTheme="minorHAnsi" w:cstheme="minorHAnsi"/>
          <w:sz w:val="22"/>
          <w:szCs w:val="22"/>
        </w:rPr>
        <w:t>visione d'insieme dello sviluppo territoriale</w:t>
      </w:r>
      <w:r w:rsidRPr="005E7C49">
        <w:rPr>
          <w:rFonts w:asciiTheme="minorHAnsi" w:hAnsiTheme="minorHAnsi" w:cstheme="minorHAnsi"/>
          <w:sz w:val="22"/>
          <w:szCs w:val="22"/>
        </w:rPr>
        <w:t>, in tutte le sue dimensioni, anche assicurando nuove linee di ricerca, rivolte alla coesione tra le Regioni meridionali.</w:t>
      </w:r>
      <w:r w:rsidR="00A8612F">
        <w:rPr>
          <w:rFonts w:asciiTheme="minorHAnsi" w:hAnsiTheme="minorHAnsi" w:cstheme="minorHAnsi"/>
          <w:sz w:val="22"/>
          <w:szCs w:val="22"/>
        </w:rPr>
        <w:t xml:space="preserve"> </w:t>
      </w:r>
      <w:r w:rsidRPr="005E7C49">
        <w:rPr>
          <w:rFonts w:asciiTheme="minorHAnsi" w:hAnsiTheme="minorHAnsi" w:cstheme="minorHAnsi"/>
          <w:sz w:val="22"/>
          <w:szCs w:val="22"/>
        </w:rPr>
        <w:t xml:space="preserve">La stesura finale del Rapporto è stata coordinata dalla dott.ssa </w:t>
      </w:r>
      <w:r w:rsidRPr="005E7C49">
        <w:rPr>
          <w:rStyle w:val="Enfasigrassetto"/>
          <w:rFonts w:asciiTheme="minorHAnsi" w:hAnsiTheme="minorHAnsi" w:cstheme="minorHAnsi"/>
          <w:sz w:val="22"/>
          <w:szCs w:val="22"/>
        </w:rPr>
        <w:t xml:space="preserve">Roberta Garganese </w:t>
      </w:r>
      <w:r w:rsidRPr="005E7C49">
        <w:rPr>
          <w:rFonts w:asciiTheme="minorHAnsi" w:hAnsiTheme="minorHAnsi" w:cstheme="minorHAnsi"/>
          <w:sz w:val="22"/>
          <w:szCs w:val="22"/>
        </w:rPr>
        <w:t xml:space="preserve">e l'editing è stato curato dal </w:t>
      </w:r>
      <w:r w:rsidRPr="005E7C49">
        <w:rPr>
          <w:rStyle w:val="Enfasigrassetto"/>
          <w:rFonts w:asciiTheme="minorHAnsi" w:hAnsiTheme="minorHAnsi" w:cstheme="minorHAnsi"/>
          <w:sz w:val="22"/>
          <w:szCs w:val="22"/>
        </w:rPr>
        <w:t>dott. Iary Goffredo</w:t>
      </w:r>
      <w:r w:rsidRPr="005E7C49">
        <w:rPr>
          <w:rFonts w:asciiTheme="minorHAnsi" w:hAnsiTheme="minorHAnsi" w:cstheme="minorHAnsi"/>
          <w:sz w:val="22"/>
          <w:szCs w:val="22"/>
        </w:rPr>
        <w:t>.</w:t>
      </w:r>
      <w:r w:rsidR="00A8612F">
        <w:rPr>
          <w:rFonts w:asciiTheme="minorHAnsi" w:hAnsiTheme="minorHAnsi" w:cstheme="minorHAnsi"/>
          <w:sz w:val="22"/>
          <w:szCs w:val="22"/>
        </w:rPr>
        <w:t xml:space="preserve"> </w:t>
      </w:r>
      <w:r w:rsidRPr="005E7C49">
        <w:rPr>
          <w:rFonts w:asciiTheme="minorHAnsi" w:hAnsiTheme="minorHAnsi" w:cstheme="minorHAnsi"/>
          <w:sz w:val="22"/>
          <w:szCs w:val="22"/>
        </w:rPr>
        <w:t xml:space="preserve">Gli studi sono stati elaborati, per la gran parte, sulla base dei dati statistici contenuti nella banca dati </w:t>
      </w:r>
      <w:r w:rsidRPr="005E7C49">
        <w:rPr>
          <w:rStyle w:val="Enfasigrassetto"/>
          <w:rFonts w:asciiTheme="minorHAnsi" w:hAnsiTheme="minorHAnsi" w:cstheme="minorHAnsi"/>
          <w:sz w:val="22"/>
          <w:szCs w:val="22"/>
        </w:rPr>
        <w:t xml:space="preserve">"Puglia in cifre" </w:t>
      </w:r>
      <w:r w:rsidRPr="005E7C49">
        <w:rPr>
          <w:rFonts w:asciiTheme="minorHAnsi" w:hAnsiTheme="minorHAnsi" w:cstheme="minorHAnsi"/>
          <w:sz w:val="22"/>
          <w:szCs w:val="22"/>
        </w:rPr>
        <w:t xml:space="preserve">della Fondazione, disponibile sul sito </w:t>
      </w:r>
      <w:hyperlink r:id="rId16" w:tgtFrame="_blank" w:history="1">
        <w:r w:rsidRPr="005E7C49">
          <w:rPr>
            <w:rStyle w:val="Enfasigrassetto"/>
            <w:rFonts w:asciiTheme="minorHAnsi" w:hAnsiTheme="minorHAnsi" w:cstheme="minorHAnsi"/>
            <w:color w:val="0000FF"/>
            <w:sz w:val="22"/>
            <w:szCs w:val="22"/>
            <w:u w:val="single"/>
          </w:rPr>
          <w:t>www.ipres.it</w:t>
        </w:r>
      </w:hyperlink>
      <w:r w:rsidRPr="005E7C49">
        <w:rPr>
          <w:rFonts w:asciiTheme="minorHAnsi" w:hAnsiTheme="minorHAnsi" w:cstheme="minorHAnsi"/>
          <w:sz w:val="22"/>
          <w:szCs w:val="22"/>
        </w:rPr>
        <w:t>.</w:t>
      </w:r>
    </w:p>
    <w:p w14:paraId="1F12A466" w14:textId="77777777" w:rsidR="005E7C49" w:rsidRPr="005E7C49" w:rsidRDefault="00000000" w:rsidP="005E7C49">
      <w:pPr>
        <w:pStyle w:val="NormaleWeb"/>
        <w:spacing w:before="0" w:beforeAutospacing="0" w:after="0" w:afterAutospacing="0"/>
        <w:jc w:val="both"/>
        <w:rPr>
          <w:rFonts w:asciiTheme="minorHAnsi" w:hAnsiTheme="minorHAnsi" w:cstheme="minorHAnsi"/>
          <w:sz w:val="22"/>
          <w:szCs w:val="22"/>
        </w:rPr>
      </w:pPr>
      <w:hyperlink r:id="rId17" w:tgtFrame="_blank" w:history="1">
        <w:r w:rsidR="005E7C49" w:rsidRPr="005E7C49">
          <w:rPr>
            <w:rStyle w:val="Enfasigrassetto"/>
            <w:rFonts w:asciiTheme="minorHAnsi" w:hAnsiTheme="minorHAnsi" w:cstheme="minorHAnsi"/>
            <w:color w:val="0000FF"/>
            <w:sz w:val="22"/>
            <w:szCs w:val="22"/>
            <w:u w:val="single"/>
          </w:rPr>
          <w:t>Scarica il Rapporto Puglia 2021</w:t>
        </w:r>
      </w:hyperlink>
      <w:r w:rsidR="005E7C49" w:rsidRPr="005E7C49">
        <w:rPr>
          <w:rFonts w:asciiTheme="minorHAnsi" w:hAnsiTheme="minorHAnsi" w:cstheme="minorHAnsi"/>
          <w:sz w:val="22"/>
          <w:szCs w:val="22"/>
        </w:rPr>
        <w:t> (file 7 Mb)</w:t>
      </w:r>
    </w:p>
    <w:p w14:paraId="29399BD9" w14:textId="77777777" w:rsidR="005E7C49" w:rsidRPr="005E7C49" w:rsidRDefault="005E7C49" w:rsidP="005E7C49">
      <w:pPr>
        <w:pStyle w:val="NormaleWeb"/>
        <w:spacing w:before="0" w:beforeAutospacing="0" w:after="0" w:afterAutospacing="0"/>
        <w:jc w:val="both"/>
        <w:rPr>
          <w:rFonts w:asciiTheme="minorHAnsi" w:hAnsiTheme="minorHAnsi" w:cstheme="minorHAnsi"/>
          <w:sz w:val="22"/>
          <w:szCs w:val="22"/>
        </w:rPr>
      </w:pPr>
      <w:r w:rsidRPr="005E7C49">
        <w:rPr>
          <w:rFonts w:asciiTheme="minorHAnsi" w:hAnsiTheme="minorHAnsi" w:cstheme="minorHAnsi"/>
          <w:sz w:val="22"/>
          <w:szCs w:val="22"/>
        </w:rPr>
        <w:t>Valenzano, 28 marzo 2022</w:t>
      </w:r>
    </w:p>
    <w:p w14:paraId="43D3C78C" w14:textId="158B5C4D" w:rsidR="005E7C49" w:rsidRPr="005E7C49" w:rsidRDefault="00000000" w:rsidP="005E7C49">
      <w:pPr>
        <w:jc w:val="both"/>
        <w:rPr>
          <w:rFonts w:asciiTheme="minorHAnsi" w:hAnsiTheme="minorHAnsi" w:cstheme="minorHAnsi"/>
          <w:sz w:val="22"/>
          <w:szCs w:val="22"/>
        </w:rPr>
      </w:pPr>
      <w:hyperlink r:id="rId18" w:history="1">
        <w:r w:rsidR="005E7C49" w:rsidRPr="005E7C49">
          <w:rPr>
            <w:rStyle w:val="Collegamentoipertestuale"/>
            <w:rFonts w:asciiTheme="minorHAnsi" w:hAnsiTheme="minorHAnsi" w:cstheme="minorHAnsi"/>
            <w:sz w:val="22"/>
            <w:szCs w:val="22"/>
          </w:rPr>
          <w:t>https://www.innova.puglia.it/en/allnews/-/asset_publisher/s92Rnms1OaMO/content/ipres-rapporto-puglia-2021;jsessionid=788C415568093C4A0663C4A7408D8A6D</w:t>
        </w:r>
      </w:hyperlink>
    </w:p>
    <w:p w14:paraId="1E60AC86" w14:textId="7DC74D25" w:rsidR="005E7C49" w:rsidRPr="005E7C49" w:rsidRDefault="005E7C49" w:rsidP="005E7C49">
      <w:pPr>
        <w:jc w:val="both"/>
        <w:rPr>
          <w:rFonts w:asciiTheme="minorHAnsi" w:hAnsiTheme="minorHAnsi" w:cstheme="minorHAnsi"/>
          <w:sz w:val="22"/>
          <w:szCs w:val="22"/>
        </w:rPr>
      </w:pPr>
    </w:p>
    <w:p w14:paraId="61E774AF" w14:textId="68ECF582" w:rsidR="005E7C49" w:rsidRPr="005E7C49" w:rsidRDefault="005E7C49" w:rsidP="005E7C49">
      <w:pPr>
        <w:jc w:val="both"/>
        <w:rPr>
          <w:rFonts w:asciiTheme="minorHAnsi" w:hAnsiTheme="minorHAnsi" w:cstheme="minorHAnsi"/>
          <w:i/>
          <w:iCs/>
          <w:sz w:val="22"/>
          <w:szCs w:val="22"/>
        </w:rPr>
      </w:pPr>
      <w:r w:rsidRPr="005E7C49">
        <w:rPr>
          <w:rFonts w:asciiTheme="minorHAnsi" w:hAnsiTheme="minorHAnsi" w:cstheme="minorHAnsi"/>
          <w:sz w:val="22"/>
          <w:szCs w:val="22"/>
        </w:rPr>
        <w:t>La presente pubblicazione, realizzata nell’ambito del Programma annuale delle ricerche ed approvato dall’Assemblea, è il risultato di riflessioni maturate in seno al Consiglio di Amministrazione e al Comitato tecnico – scientifico e del lavoro interdisciplinare delle professionalità presenti nella Fondazione. I gruppi di lavoro che hanno portato alla stesura finale del Rapporto sono stati coordinati dal dott. Nunzio Mastrorocco. L’editing è stato curato dalla dott.ssa Elisa Calò e dal dott. Iary Goffredo. Gli studi sono stati elaborati, per la gran parte, sulla base dei dati statistici contenuti nella banca dati “Puglia in cifre” della Fondazione, disponibile sul sito www.ipres.it . La Fondazione sente di dover rivolgere un vivo ringraziamento alle realtà istituzionali che con la loro attiva collaborazione hanno assicurato dati e informazioni utili per l’attività di ricerca (Direzione staff e qualità, Banca d’Italia – Divisione di analisi e ricerche economiche territoriali della Banca d’Italia, sede di Bari, ISTAT – Istituto Nazionale di Statistica, Regione Puglia – Assessorato al Diritto allo studio e formazione, Agenzia per la Coesione Territoriale - Nucleo CPT, Ragioneria Generale dello Stato per i dati del Conto annuale del personale, SVIMEZ, Globus et locus)</w:t>
      </w:r>
      <w:r w:rsidR="00A8612F">
        <w:rPr>
          <w:rFonts w:asciiTheme="minorHAnsi" w:hAnsiTheme="minorHAnsi" w:cstheme="minorHAnsi"/>
          <w:sz w:val="22"/>
          <w:szCs w:val="22"/>
        </w:rPr>
        <w:t xml:space="preserve">. </w:t>
      </w:r>
      <w:r w:rsidRPr="005E7C49">
        <w:rPr>
          <w:rFonts w:asciiTheme="minorHAnsi" w:hAnsiTheme="minorHAnsi" w:cstheme="minorHAnsi"/>
          <w:sz w:val="22"/>
          <w:szCs w:val="22"/>
        </w:rPr>
        <w:t>Il presente volume raccoglie gli studi svolti dalla Fondazione IPRES per sostenere gli attori dei processi partecipativi della programmazione regionale; le finalità del volume sono rivolte, in particolare, a facilitare i lavori degli Enti del sistema delle Autonomie locali e del Partenariato economico e sociale per la “formazione dell’agenda delle politiche regionali”.</w:t>
      </w:r>
      <w:r>
        <w:rPr>
          <w:rFonts w:asciiTheme="minorHAnsi" w:hAnsiTheme="minorHAnsi" w:cstheme="minorHAnsi"/>
          <w:sz w:val="22"/>
          <w:szCs w:val="22"/>
        </w:rPr>
        <w:t xml:space="preserve"> </w:t>
      </w:r>
      <w:r w:rsidRPr="005E7C49">
        <w:rPr>
          <w:rFonts w:asciiTheme="minorHAnsi" w:hAnsiTheme="minorHAnsi" w:cstheme="minorHAnsi"/>
          <w:i/>
          <w:iCs/>
          <w:sz w:val="22"/>
          <w:szCs w:val="22"/>
        </w:rPr>
        <w:t>Relazione economica e sociale 2020</w:t>
      </w:r>
    </w:p>
    <w:p w14:paraId="6E05EC36" w14:textId="77777777" w:rsidR="005E7C49" w:rsidRPr="00BB7760" w:rsidRDefault="005E7C49" w:rsidP="00F26919">
      <w:pPr>
        <w:jc w:val="both"/>
        <w:rPr>
          <w:rFonts w:ascii="Calibri" w:hAnsi="Calibri" w:cs="Calibri"/>
          <w:b/>
          <w:bCs/>
          <w:sz w:val="22"/>
          <w:szCs w:val="22"/>
        </w:rPr>
      </w:pPr>
    </w:p>
    <w:p w14:paraId="3B569A0B" w14:textId="77777777" w:rsidR="0058657A" w:rsidRDefault="0058657A"/>
    <w:sectPr w:rsidR="0058657A">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0010D"/>
    <w:rsid w:val="0058657A"/>
    <w:rsid w:val="005E7C49"/>
    <w:rsid w:val="0060010D"/>
    <w:rsid w:val="007C1467"/>
    <w:rsid w:val="00A8612F"/>
    <w:rsid w:val="00BB7760"/>
    <w:rsid w:val="00F2691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E6229"/>
  <w15:chartTrackingRefBased/>
  <w15:docId w15:val="{D029DC59-5572-4DCA-BC40-E73060403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26919"/>
    <w:pPr>
      <w:spacing w:after="0" w:line="240" w:lineRule="auto"/>
    </w:pPr>
    <w:rPr>
      <w:rFonts w:ascii="Times New Roman" w:eastAsia="Times New Roman" w:hAnsi="Times New Roman"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sid w:val="00F26919"/>
    <w:rPr>
      <w:color w:val="0000FF"/>
      <w:u w:val="single"/>
    </w:rPr>
  </w:style>
  <w:style w:type="character" w:styleId="Menzionenonrisolta">
    <w:name w:val="Unresolved Mention"/>
    <w:basedOn w:val="Carpredefinitoparagrafo"/>
    <w:uiPriority w:val="99"/>
    <w:semiHidden/>
    <w:unhideWhenUsed/>
    <w:rsid w:val="00BB7760"/>
    <w:rPr>
      <w:color w:val="605E5C"/>
      <w:shd w:val="clear" w:color="auto" w:fill="E1DFDD"/>
    </w:rPr>
  </w:style>
  <w:style w:type="paragraph" w:styleId="NormaleWeb">
    <w:name w:val="Normal (Web)"/>
    <w:basedOn w:val="Normale"/>
    <w:uiPriority w:val="99"/>
    <w:semiHidden/>
    <w:unhideWhenUsed/>
    <w:rsid w:val="005E7C49"/>
    <w:pPr>
      <w:spacing w:before="100" w:beforeAutospacing="1" w:after="100" w:afterAutospacing="1"/>
    </w:pPr>
  </w:style>
  <w:style w:type="character" w:styleId="Enfasigrassetto">
    <w:name w:val="Strong"/>
    <w:basedOn w:val="Carpredefinitoparagrafo"/>
    <w:uiPriority w:val="22"/>
    <w:qFormat/>
    <w:rsid w:val="005E7C49"/>
    <w:rPr>
      <w:b/>
      <w:bCs/>
    </w:rPr>
  </w:style>
  <w:style w:type="character" w:styleId="Collegamentovisitato">
    <w:name w:val="FollowedHyperlink"/>
    <w:basedOn w:val="Carpredefinitoparagrafo"/>
    <w:uiPriority w:val="99"/>
    <w:semiHidden/>
    <w:unhideWhenUsed/>
    <w:rsid w:val="00A8612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2000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www.ipres.it/it/pubblicazioni-e-ricerche" TargetMode="External"/><Relationship Id="rId18" Type="http://schemas.openxmlformats.org/officeDocument/2006/relationships/hyperlink" Target="https://www.innova.puglia.it/en/allnews/-/asset_publisher/s92Rnms1OaMO/content/ipres-rapporto-puglia-2021;jsessionid=788C415568093C4A0663C4A7408D8A6D"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www.ipres.it/it/component/k2/itemlist/category/2-rapporto-puglia" TargetMode="External"/><Relationship Id="rId17" Type="http://schemas.openxmlformats.org/officeDocument/2006/relationships/hyperlink" Target="https://www.innova.puglia.it/documents/10180/4265269/Rapporto_Puglia_2021_Con_Copertina.pdf/b83b96ae-a659-4583-8167-99554a79bc3e" TargetMode="External"/><Relationship Id="rId2" Type="http://schemas.openxmlformats.org/officeDocument/2006/relationships/settings" Target="settings.xml"/><Relationship Id="rId16" Type="http://schemas.openxmlformats.org/officeDocument/2006/relationships/hyperlink" Target="http://www.ipres.it"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ipres.it/it/pubblicazioni-e-ricerche" TargetMode="External"/><Relationship Id="rId5" Type="http://schemas.openxmlformats.org/officeDocument/2006/relationships/image" Target="media/image2.png"/><Relationship Id="rId15" Type="http://schemas.openxmlformats.org/officeDocument/2006/relationships/hyperlink" Target="https://www.ipres.it/" TargetMode="External"/><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hyperlink" Target="https://www.ipres.it/it/pubblicazioni-e-ricerche"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1099</Words>
  <Characters>6267</Characters>
  <Application>Microsoft Office Word</Application>
  <DocSecurity>0</DocSecurity>
  <Lines>52</Lines>
  <Paragraphs>14</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7352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5</cp:revision>
  <dcterms:created xsi:type="dcterms:W3CDTF">2022-11-01T05:30:00Z</dcterms:created>
  <dcterms:modified xsi:type="dcterms:W3CDTF">2024-05-29T09:00:00Z</dcterms:modified>
</cp:coreProperties>
</file>