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0A4A" w14:textId="16DE74E2" w:rsidR="00871AF9" w:rsidRPr="00E23413" w:rsidRDefault="00871AF9" w:rsidP="00444180">
      <w:pPr>
        <w:spacing w:after="0" w:line="240" w:lineRule="auto"/>
        <w:jc w:val="both"/>
        <w:rPr>
          <w:rFonts w:cstheme="minorHAnsi"/>
          <w:i/>
          <w:iCs/>
          <w:sz w:val="16"/>
          <w:szCs w:val="16"/>
        </w:rPr>
      </w:pPr>
      <w:r w:rsidRPr="00E23413">
        <w:rPr>
          <w:rFonts w:cstheme="minorHAnsi"/>
          <w:b/>
          <w:bCs/>
          <w:color w:val="C00000"/>
          <w:sz w:val="44"/>
          <w:szCs w:val="44"/>
        </w:rPr>
        <w:t>B</w:t>
      </w:r>
      <w:r>
        <w:rPr>
          <w:rFonts w:cstheme="minorHAnsi"/>
          <w:b/>
          <w:bCs/>
          <w:color w:val="C00000"/>
          <w:sz w:val="44"/>
          <w:szCs w:val="44"/>
        </w:rPr>
        <w:t>12</w:t>
      </w:r>
      <w:r w:rsidRPr="00E23413">
        <w:rPr>
          <w:rFonts w:cstheme="minorHAnsi"/>
          <w:b/>
          <w:bCs/>
          <w:sz w:val="32"/>
          <w:szCs w:val="32"/>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b/>
          <w:bCs/>
          <w:sz w:val="16"/>
          <w:szCs w:val="16"/>
        </w:rPr>
        <w:tab/>
      </w:r>
      <w:r w:rsidRPr="00E23413">
        <w:rPr>
          <w:rFonts w:cstheme="minorHAnsi"/>
          <w:i/>
          <w:iCs/>
          <w:sz w:val="16"/>
          <w:szCs w:val="16"/>
        </w:rPr>
        <w:t xml:space="preserve">scheda creata il </w:t>
      </w:r>
      <w:proofErr w:type="gramStart"/>
      <w:r w:rsidRPr="00E23413">
        <w:rPr>
          <w:rFonts w:cstheme="minorHAnsi"/>
          <w:i/>
          <w:iCs/>
          <w:sz w:val="16"/>
          <w:szCs w:val="16"/>
        </w:rPr>
        <w:t>1 luglio</w:t>
      </w:r>
      <w:proofErr w:type="gramEnd"/>
      <w:r w:rsidRPr="00E23413">
        <w:rPr>
          <w:rFonts w:cstheme="minorHAnsi"/>
          <w:i/>
          <w:iCs/>
          <w:sz w:val="16"/>
          <w:szCs w:val="16"/>
        </w:rPr>
        <w:t xml:space="preserve"> 202</w:t>
      </w:r>
      <w:r>
        <w:rPr>
          <w:rFonts w:cstheme="minorHAnsi"/>
          <w:i/>
          <w:iCs/>
          <w:sz w:val="16"/>
          <w:szCs w:val="16"/>
        </w:rPr>
        <w:t>6</w:t>
      </w:r>
    </w:p>
    <w:p w14:paraId="6F4894CC" w14:textId="77777777" w:rsidR="00871AF9" w:rsidRPr="00E23413" w:rsidRDefault="00871AF9" w:rsidP="00444180">
      <w:pPr>
        <w:spacing w:after="0" w:line="240" w:lineRule="auto"/>
        <w:jc w:val="both"/>
        <w:rPr>
          <w:rFonts w:cstheme="minorHAnsi"/>
          <w:b/>
          <w:bCs/>
          <w:color w:val="C00000"/>
          <w:sz w:val="44"/>
          <w:szCs w:val="44"/>
        </w:rPr>
      </w:pPr>
      <w:r w:rsidRPr="00E23413">
        <w:rPr>
          <w:rFonts w:cstheme="minorHAnsi"/>
          <w:b/>
          <w:bCs/>
          <w:color w:val="C00000"/>
          <w:sz w:val="44"/>
          <w:szCs w:val="44"/>
        </w:rPr>
        <w:t>Descrizione storico-bibliografica</w:t>
      </w:r>
    </w:p>
    <w:p w14:paraId="6245FC90" w14:textId="77777777" w:rsidR="00444180" w:rsidRDefault="00871AF9" w:rsidP="00444180">
      <w:pPr>
        <w:spacing w:after="0" w:line="240" w:lineRule="auto"/>
        <w:jc w:val="center"/>
        <w:rPr>
          <w:b/>
          <w:noProof/>
        </w:rPr>
      </w:pPr>
      <w:r>
        <w:rPr>
          <w:noProof/>
        </w:rPr>
        <w:drawing>
          <wp:inline distT="0" distB="0" distL="0" distR="0" wp14:anchorId="1F5C4C4B" wp14:editId="6D2A3182">
            <wp:extent cx="1998000" cy="2520000"/>
            <wp:effectExtent l="0" t="0" r="2540" b="0"/>
            <wp:docPr id="185297877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8000" cy="2520000"/>
                    </a:xfrm>
                    <a:prstGeom prst="rect">
                      <a:avLst/>
                    </a:prstGeom>
                    <a:noFill/>
                    <a:ln>
                      <a:noFill/>
                    </a:ln>
                  </pic:spPr>
                </pic:pic>
              </a:graphicData>
            </a:graphic>
          </wp:inline>
        </w:drawing>
      </w:r>
      <w:r w:rsidR="00444180">
        <w:rPr>
          <w:b/>
          <w:noProof/>
        </w:rPr>
        <w:drawing>
          <wp:inline distT="0" distB="0" distL="0" distR="0" wp14:anchorId="7B0442CB" wp14:editId="06BA27EA">
            <wp:extent cx="1796400" cy="2520000"/>
            <wp:effectExtent l="0" t="0" r="0" b="0"/>
            <wp:docPr id="142891286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6400" cy="2520000"/>
                    </a:xfrm>
                    <a:prstGeom prst="rect">
                      <a:avLst/>
                    </a:prstGeom>
                    <a:noFill/>
                  </pic:spPr>
                </pic:pic>
              </a:graphicData>
            </a:graphic>
          </wp:inline>
        </w:drawing>
      </w:r>
    </w:p>
    <w:p w14:paraId="5EA1FB3D" w14:textId="7D45645C" w:rsidR="00444180" w:rsidRDefault="00444180" w:rsidP="00444180">
      <w:pPr>
        <w:spacing w:after="0" w:line="240" w:lineRule="auto"/>
        <w:jc w:val="both"/>
        <w:rPr>
          <w:sz w:val="32"/>
          <w:szCs w:val="32"/>
        </w:rPr>
      </w:pPr>
      <w:r w:rsidRPr="00444180">
        <w:rPr>
          <w:b/>
          <w:sz w:val="32"/>
          <w:szCs w:val="32"/>
        </w:rPr>
        <w:t>*Esperienze amministrative</w:t>
      </w:r>
      <w:r w:rsidRPr="00444180">
        <w:rPr>
          <w:sz w:val="32"/>
          <w:szCs w:val="32"/>
        </w:rPr>
        <w:t xml:space="preserve">. - </w:t>
      </w:r>
      <w:proofErr w:type="gramStart"/>
      <w:r w:rsidRPr="00444180">
        <w:rPr>
          <w:sz w:val="32"/>
          <w:szCs w:val="32"/>
        </w:rPr>
        <w:t>Napoli :</w:t>
      </w:r>
      <w:proofErr w:type="gramEnd"/>
      <w:r w:rsidRPr="00444180">
        <w:rPr>
          <w:sz w:val="32"/>
          <w:szCs w:val="32"/>
        </w:rPr>
        <w:t xml:space="preserve"> </w:t>
      </w:r>
      <w:proofErr w:type="spellStart"/>
      <w:r w:rsidRPr="00444180">
        <w:rPr>
          <w:sz w:val="32"/>
          <w:szCs w:val="32"/>
        </w:rPr>
        <w:t>Tecnodid</w:t>
      </w:r>
      <w:proofErr w:type="spellEnd"/>
      <w:r w:rsidRPr="00444180">
        <w:rPr>
          <w:sz w:val="32"/>
          <w:szCs w:val="32"/>
        </w:rPr>
        <w:t xml:space="preserve">, 1983-  </w:t>
      </w:r>
      <w:proofErr w:type="gramStart"/>
      <w:r w:rsidRPr="00444180">
        <w:rPr>
          <w:sz w:val="32"/>
          <w:szCs w:val="32"/>
        </w:rPr>
        <w:t xml:space="preserve">  .</w:t>
      </w:r>
      <w:proofErr w:type="gramEnd"/>
      <w:r w:rsidRPr="00444180">
        <w:rPr>
          <w:sz w:val="32"/>
          <w:szCs w:val="32"/>
        </w:rPr>
        <w:t xml:space="preserve"> - </w:t>
      </w:r>
      <w:proofErr w:type="gramStart"/>
      <w:r w:rsidRPr="00444180">
        <w:rPr>
          <w:sz w:val="32"/>
          <w:szCs w:val="32"/>
        </w:rPr>
        <w:t>volumi ;</w:t>
      </w:r>
      <w:proofErr w:type="gramEnd"/>
      <w:r w:rsidRPr="00444180">
        <w:rPr>
          <w:sz w:val="32"/>
          <w:szCs w:val="32"/>
        </w:rPr>
        <w:t xml:space="preserve"> 24 cm. ((Trimestrale. – Il formato varia. – Indice generale alfabetico per materia 1983-1992 nel n. 4 (1994). - Descrizione basata su: A</w:t>
      </w:r>
      <w:r>
        <w:rPr>
          <w:sz w:val="32"/>
          <w:szCs w:val="32"/>
        </w:rPr>
        <w:t>nno</w:t>
      </w:r>
      <w:r w:rsidRPr="00444180">
        <w:rPr>
          <w:sz w:val="32"/>
          <w:szCs w:val="32"/>
        </w:rPr>
        <w:t xml:space="preserve"> 11, n. 2 (mag</w:t>
      </w:r>
      <w:r>
        <w:rPr>
          <w:sz w:val="32"/>
          <w:szCs w:val="32"/>
        </w:rPr>
        <w:t>gio</w:t>
      </w:r>
      <w:r w:rsidRPr="00444180">
        <w:rPr>
          <w:sz w:val="32"/>
          <w:szCs w:val="32"/>
        </w:rPr>
        <w:t xml:space="preserve"> 1994). </w:t>
      </w:r>
      <w:r>
        <w:rPr>
          <w:sz w:val="32"/>
          <w:szCs w:val="32"/>
        </w:rPr>
        <w:t xml:space="preserve">- </w:t>
      </w:r>
      <w:r w:rsidRPr="00444180">
        <w:rPr>
          <w:sz w:val="32"/>
          <w:szCs w:val="32"/>
        </w:rPr>
        <w:t>CFI0289387</w:t>
      </w:r>
    </w:p>
    <w:p w14:paraId="4A6D297E" w14:textId="77777777" w:rsidR="00444180" w:rsidRPr="00444180" w:rsidRDefault="00444180" w:rsidP="00444180">
      <w:pPr>
        <w:spacing w:after="0" w:line="240" w:lineRule="auto"/>
        <w:jc w:val="both"/>
        <w:rPr>
          <w:sz w:val="32"/>
          <w:szCs w:val="32"/>
        </w:rPr>
      </w:pPr>
    </w:p>
    <w:p w14:paraId="356F003E" w14:textId="2E99EDD6" w:rsidR="00871AF9" w:rsidRPr="00444180" w:rsidRDefault="00871AF9" w:rsidP="005A76F9">
      <w:pPr>
        <w:spacing w:after="0" w:line="240" w:lineRule="auto"/>
        <w:jc w:val="center"/>
        <w:rPr>
          <w:b/>
          <w:sz w:val="32"/>
          <w:szCs w:val="32"/>
        </w:rPr>
      </w:pPr>
      <w:r w:rsidRPr="00444180">
        <w:rPr>
          <w:b/>
          <w:noProof/>
          <w:sz w:val="32"/>
          <w:szCs w:val="32"/>
        </w:rPr>
        <w:drawing>
          <wp:inline distT="0" distB="0" distL="0" distR="0" wp14:anchorId="0D51D487" wp14:editId="61CC3218">
            <wp:extent cx="1821600" cy="2520000"/>
            <wp:effectExtent l="0" t="0" r="7620" b="0"/>
            <wp:docPr id="169867460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1600" cy="2520000"/>
                    </a:xfrm>
                    <a:prstGeom prst="rect">
                      <a:avLst/>
                    </a:prstGeom>
                    <a:noFill/>
                  </pic:spPr>
                </pic:pic>
              </a:graphicData>
            </a:graphic>
          </wp:inline>
        </w:drawing>
      </w:r>
      <w:r w:rsidRPr="00444180">
        <w:rPr>
          <w:b/>
          <w:noProof/>
          <w:sz w:val="32"/>
          <w:szCs w:val="32"/>
        </w:rPr>
        <w:drawing>
          <wp:inline distT="0" distB="0" distL="0" distR="0" wp14:anchorId="75446CEA" wp14:editId="6BDEEA37">
            <wp:extent cx="1771200" cy="2520000"/>
            <wp:effectExtent l="0" t="0" r="635" b="0"/>
            <wp:docPr id="206573774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200" cy="2520000"/>
                    </a:xfrm>
                    <a:prstGeom prst="rect">
                      <a:avLst/>
                    </a:prstGeom>
                    <a:noFill/>
                  </pic:spPr>
                </pic:pic>
              </a:graphicData>
            </a:graphic>
          </wp:inline>
        </w:drawing>
      </w:r>
      <w:r w:rsidR="00444180" w:rsidRPr="00444180">
        <w:rPr>
          <w:b/>
          <w:noProof/>
          <w:sz w:val="32"/>
          <w:szCs w:val="32"/>
        </w:rPr>
        <w:drawing>
          <wp:inline distT="0" distB="0" distL="0" distR="0" wp14:anchorId="255CC546" wp14:editId="44511E46">
            <wp:extent cx="1782000" cy="2520000"/>
            <wp:effectExtent l="0" t="0" r="8890" b="0"/>
            <wp:docPr id="201618902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2000" cy="2520000"/>
                    </a:xfrm>
                    <a:prstGeom prst="rect">
                      <a:avLst/>
                    </a:prstGeom>
                    <a:noFill/>
                  </pic:spPr>
                </pic:pic>
              </a:graphicData>
            </a:graphic>
          </wp:inline>
        </w:drawing>
      </w:r>
    </w:p>
    <w:p w14:paraId="53D9BB0E" w14:textId="7859B141" w:rsidR="00871AF9" w:rsidRPr="00444180" w:rsidRDefault="00871AF9" w:rsidP="00444180">
      <w:pPr>
        <w:spacing w:after="0" w:line="240" w:lineRule="auto"/>
        <w:jc w:val="both"/>
        <w:rPr>
          <w:sz w:val="32"/>
          <w:szCs w:val="32"/>
        </w:rPr>
      </w:pPr>
      <w:r w:rsidRPr="00444180">
        <w:rPr>
          <w:sz w:val="32"/>
          <w:szCs w:val="32"/>
        </w:rPr>
        <w:t>*</w:t>
      </w:r>
      <w:r w:rsidRPr="00444180">
        <w:rPr>
          <w:b/>
          <w:bCs/>
          <w:sz w:val="32"/>
          <w:szCs w:val="32"/>
        </w:rPr>
        <w:t>Agenda della scuola</w:t>
      </w:r>
      <w:r w:rsidRPr="00444180">
        <w:rPr>
          <w:sz w:val="32"/>
          <w:szCs w:val="32"/>
        </w:rPr>
        <w:t xml:space="preserve">. </w:t>
      </w:r>
      <w:r w:rsidR="00444180" w:rsidRPr="00444180">
        <w:rPr>
          <w:sz w:val="32"/>
          <w:szCs w:val="32"/>
        </w:rPr>
        <w:t>–</w:t>
      </w:r>
      <w:r w:rsidRPr="00444180">
        <w:rPr>
          <w:sz w:val="32"/>
          <w:szCs w:val="32"/>
        </w:rPr>
        <w:t xml:space="preserve"> </w:t>
      </w:r>
      <w:r w:rsidR="00444180" w:rsidRPr="00444180">
        <w:rPr>
          <w:sz w:val="32"/>
          <w:szCs w:val="32"/>
        </w:rPr>
        <w:t>Trimestre 1. (</w:t>
      </w:r>
      <w:r w:rsidRPr="00444180">
        <w:rPr>
          <w:sz w:val="32"/>
          <w:szCs w:val="32"/>
        </w:rPr>
        <w:t>20</w:t>
      </w:r>
      <w:r w:rsidR="00444180" w:rsidRPr="00444180">
        <w:rPr>
          <w:sz w:val="32"/>
          <w:szCs w:val="32"/>
        </w:rPr>
        <w:t>11</w:t>
      </w:r>
      <w:r w:rsidRPr="00444180">
        <w:rPr>
          <w:sz w:val="32"/>
          <w:szCs w:val="32"/>
        </w:rPr>
        <w:t>/</w:t>
      </w:r>
      <w:proofErr w:type="gramStart"/>
      <w:r w:rsidRPr="00444180">
        <w:rPr>
          <w:sz w:val="32"/>
          <w:szCs w:val="32"/>
        </w:rPr>
        <w:t>20</w:t>
      </w:r>
      <w:r w:rsidR="00444180" w:rsidRPr="00444180">
        <w:rPr>
          <w:sz w:val="32"/>
          <w:szCs w:val="32"/>
        </w:rPr>
        <w:t>12)</w:t>
      </w:r>
      <w:r w:rsidRPr="00444180">
        <w:rPr>
          <w:sz w:val="32"/>
          <w:szCs w:val="32"/>
        </w:rPr>
        <w:t>-</w:t>
      </w:r>
      <w:proofErr w:type="gramEnd"/>
      <w:r w:rsidRPr="00444180">
        <w:rPr>
          <w:sz w:val="32"/>
          <w:szCs w:val="32"/>
        </w:rPr>
        <w:t xml:space="preserve">  </w:t>
      </w:r>
      <w:proofErr w:type="gramStart"/>
      <w:r w:rsidRPr="00444180">
        <w:rPr>
          <w:sz w:val="32"/>
          <w:szCs w:val="32"/>
        </w:rPr>
        <w:t xml:space="preserve">  </w:t>
      </w:r>
      <w:r w:rsidRPr="00444180">
        <w:rPr>
          <w:sz w:val="32"/>
          <w:szCs w:val="32"/>
        </w:rPr>
        <w:t>.</w:t>
      </w:r>
      <w:proofErr w:type="gramEnd"/>
      <w:r w:rsidRPr="00444180">
        <w:rPr>
          <w:sz w:val="32"/>
          <w:szCs w:val="32"/>
        </w:rPr>
        <w:t xml:space="preserve"> - </w:t>
      </w:r>
      <w:proofErr w:type="gramStart"/>
      <w:r w:rsidRPr="00444180">
        <w:rPr>
          <w:sz w:val="32"/>
          <w:szCs w:val="32"/>
        </w:rPr>
        <w:t>Napoli :</w:t>
      </w:r>
      <w:proofErr w:type="gramEnd"/>
      <w:r w:rsidRPr="00444180">
        <w:rPr>
          <w:sz w:val="32"/>
          <w:szCs w:val="32"/>
        </w:rPr>
        <w:t xml:space="preserve"> </w:t>
      </w:r>
      <w:proofErr w:type="spellStart"/>
      <w:r w:rsidRPr="00444180">
        <w:rPr>
          <w:sz w:val="32"/>
          <w:szCs w:val="32"/>
        </w:rPr>
        <w:t>Tecnodid</w:t>
      </w:r>
      <w:proofErr w:type="spellEnd"/>
      <w:r w:rsidRPr="00444180">
        <w:rPr>
          <w:sz w:val="32"/>
          <w:szCs w:val="32"/>
        </w:rPr>
        <w:t>, 20</w:t>
      </w:r>
      <w:r w:rsidR="00444180" w:rsidRPr="00444180">
        <w:rPr>
          <w:sz w:val="32"/>
          <w:szCs w:val="32"/>
        </w:rPr>
        <w:t>11</w:t>
      </w:r>
      <w:r w:rsidRPr="00444180">
        <w:rPr>
          <w:sz w:val="32"/>
          <w:szCs w:val="32"/>
        </w:rPr>
        <w:t>-</w:t>
      </w:r>
      <w:r w:rsidRPr="00444180">
        <w:rPr>
          <w:sz w:val="32"/>
          <w:szCs w:val="32"/>
        </w:rPr>
        <w:t xml:space="preserve">  </w:t>
      </w:r>
      <w:proofErr w:type="gramStart"/>
      <w:r w:rsidRPr="00444180">
        <w:rPr>
          <w:sz w:val="32"/>
          <w:szCs w:val="32"/>
        </w:rPr>
        <w:t xml:space="preserve">  </w:t>
      </w:r>
      <w:r w:rsidRPr="00444180">
        <w:rPr>
          <w:sz w:val="32"/>
          <w:szCs w:val="32"/>
        </w:rPr>
        <w:t>.</w:t>
      </w:r>
      <w:proofErr w:type="gramEnd"/>
      <w:r w:rsidRPr="00444180">
        <w:rPr>
          <w:sz w:val="32"/>
          <w:szCs w:val="32"/>
        </w:rPr>
        <w:t xml:space="preserve"> - </w:t>
      </w:r>
      <w:proofErr w:type="gramStart"/>
      <w:r w:rsidRPr="00444180">
        <w:rPr>
          <w:sz w:val="32"/>
          <w:szCs w:val="32"/>
        </w:rPr>
        <w:t>volumi ;</w:t>
      </w:r>
      <w:proofErr w:type="gramEnd"/>
      <w:r w:rsidRPr="00444180">
        <w:rPr>
          <w:sz w:val="32"/>
          <w:szCs w:val="32"/>
        </w:rPr>
        <w:t xml:space="preserve"> 24 cm. </w:t>
      </w:r>
      <w:r w:rsidRPr="00444180">
        <w:rPr>
          <w:sz w:val="32"/>
          <w:szCs w:val="32"/>
        </w:rPr>
        <w:t>((</w:t>
      </w:r>
      <w:r w:rsidRPr="00444180">
        <w:rPr>
          <w:sz w:val="32"/>
          <w:szCs w:val="32"/>
        </w:rPr>
        <w:t>Trimestrale.</w:t>
      </w:r>
      <w:r w:rsidRPr="00444180">
        <w:rPr>
          <w:sz w:val="32"/>
          <w:szCs w:val="32"/>
        </w:rPr>
        <w:t xml:space="preserve"> </w:t>
      </w:r>
      <w:r w:rsidR="00444180" w:rsidRPr="00444180">
        <w:rPr>
          <w:sz w:val="32"/>
          <w:szCs w:val="32"/>
        </w:rPr>
        <w:t>–</w:t>
      </w:r>
      <w:r w:rsidRPr="00444180">
        <w:rPr>
          <w:sz w:val="32"/>
          <w:szCs w:val="32"/>
        </w:rPr>
        <w:t xml:space="preserve"> </w:t>
      </w:r>
      <w:r w:rsidR="00444180" w:rsidRPr="00444180">
        <w:rPr>
          <w:sz w:val="32"/>
          <w:szCs w:val="32"/>
        </w:rPr>
        <w:t>Dal trimestre 4. (2025) ha il sottotitolo</w:t>
      </w:r>
      <w:proofErr w:type="gramStart"/>
      <w:r w:rsidR="00444180" w:rsidRPr="00444180">
        <w:rPr>
          <w:sz w:val="32"/>
          <w:szCs w:val="32"/>
        </w:rPr>
        <w:t xml:space="preserve">: </w:t>
      </w:r>
      <w:r w:rsidR="00444180" w:rsidRPr="00444180">
        <w:rPr>
          <w:sz w:val="32"/>
          <w:szCs w:val="32"/>
        </w:rPr>
        <w:t>:</w:t>
      </w:r>
      <w:proofErr w:type="gramEnd"/>
      <w:r w:rsidR="00444180" w:rsidRPr="00444180">
        <w:rPr>
          <w:sz w:val="32"/>
          <w:szCs w:val="32"/>
        </w:rPr>
        <w:t xml:space="preserve"> planning delle attività scolastiche ... per dirigenti scolastici e middle management</w:t>
      </w:r>
      <w:r w:rsidR="00444180" w:rsidRPr="00444180">
        <w:rPr>
          <w:sz w:val="32"/>
          <w:szCs w:val="32"/>
        </w:rPr>
        <w:t xml:space="preserve">. - </w:t>
      </w:r>
      <w:r w:rsidRPr="00444180">
        <w:rPr>
          <w:sz w:val="32"/>
          <w:szCs w:val="32"/>
        </w:rPr>
        <w:t>CFI1178646</w:t>
      </w:r>
    </w:p>
    <w:p w14:paraId="186B919A" w14:textId="77777777" w:rsidR="005A76F9" w:rsidRDefault="005A76F9" w:rsidP="00444180">
      <w:pPr>
        <w:spacing w:after="0" w:line="240" w:lineRule="auto"/>
        <w:jc w:val="both"/>
        <w:rPr>
          <w:sz w:val="32"/>
          <w:szCs w:val="32"/>
        </w:rPr>
      </w:pPr>
    </w:p>
    <w:p w14:paraId="36CB94F7" w14:textId="328AF87D" w:rsidR="00444180" w:rsidRPr="00444180" w:rsidRDefault="00444180" w:rsidP="00444180">
      <w:pPr>
        <w:spacing w:after="0" w:line="240" w:lineRule="auto"/>
        <w:jc w:val="both"/>
        <w:rPr>
          <w:sz w:val="32"/>
          <w:szCs w:val="32"/>
        </w:rPr>
      </w:pPr>
      <w:r w:rsidRPr="00444180">
        <w:rPr>
          <w:sz w:val="32"/>
          <w:szCs w:val="32"/>
        </w:rPr>
        <w:t xml:space="preserve">Soggetto: </w:t>
      </w:r>
      <w:r w:rsidRPr="00444180">
        <w:rPr>
          <w:sz w:val="32"/>
          <w:szCs w:val="32"/>
        </w:rPr>
        <w:t xml:space="preserve">Scuola - Amministrazione </w:t>
      </w:r>
      <w:r w:rsidRPr="00444180">
        <w:rPr>
          <w:sz w:val="32"/>
          <w:szCs w:val="32"/>
        </w:rPr>
        <w:t>–</w:t>
      </w:r>
      <w:r w:rsidRPr="00444180">
        <w:rPr>
          <w:sz w:val="32"/>
          <w:szCs w:val="32"/>
        </w:rPr>
        <w:t xml:space="preserve"> Periodici</w:t>
      </w:r>
      <w:r w:rsidRPr="00444180">
        <w:rPr>
          <w:sz w:val="32"/>
          <w:szCs w:val="32"/>
        </w:rPr>
        <w:t xml:space="preserve">; </w:t>
      </w:r>
      <w:r w:rsidRPr="00444180">
        <w:rPr>
          <w:sz w:val="32"/>
          <w:szCs w:val="32"/>
        </w:rPr>
        <w:t xml:space="preserve">Scuola </w:t>
      </w:r>
      <w:r w:rsidRPr="00444180">
        <w:rPr>
          <w:sz w:val="32"/>
          <w:szCs w:val="32"/>
        </w:rPr>
        <w:t>–</w:t>
      </w:r>
      <w:r w:rsidRPr="00444180">
        <w:rPr>
          <w:sz w:val="32"/>
          <w:szCs w:val="32"/>
        </w:rPr>
        <w:t xml:space="preserve"> Direzione</w:t>
      </w:r>
      <w:r w:rsidRPr="00444180">
        <w:rPr>
          <w:sz w:val="32"/>
          <w:szCs w:val="32"/>
        </w:rPr>
        <w:t xml:space="preserve"> – Periodici; </w:t>
      </w:r>
      <w:r w:rsidRPr="00444180">
        <w:rPr>
          <w:sz w:val="32"/>
          <w:szCs w:val="32"/>
        </w:rPr>
        <w:t xml:space="preserve">Scuola </w:t>
      </w:r>
      <w:r w:rsidRPr="00444180">
        <w:rPr>
          <w:sz w:val="32"/>
          <w:szCs w:val="32"/>
        </w:rPr>
        <w:t>–</w:t>
      </w:r>
      <w:r w:rsidRPr="00444180">
        <w:rPr>
          <w:sz w:val="32"/>
          <w:szCs w:val="32"/>
        </w:rPr>
        <w:t xml:space="preserve"> Gestione</w:t>
      </w:r>
      <w:r w:rsidRPr="00444180">
        <w:rPr>
          <w:sz w:val="32"/>
          <w:szCs w:val="32"/>
        </w:rPr>
        <w:t xml:space="preserve"> – Periodici</w:t>
      </w:r>
    </w:p>
    <w:p w14:paraId="70C17429" w14:textId="77777777" w:rsidR="00444180" w:rsidRPr="00871AF9" w:rsidRDefault="00444180" w:rsidP="00444180">
      <w:pPr>
        <w:spacing w:after="0" w:line="240" w:lineRule="auto"/>
        <w:jc w:val="both"/>
      </w:pPr>
    </w:p>
    <w:p w14:paraId="4FBE863F" w14:textId="77777777" w:rsidR="00871AF9" w:rsidRPr="00E23413" w:rsidRDefault="00871AF9" w:rsidP="00444180">
      <w:pPr>
        <w:spacing w:after="0" w:line="240" w:lineRule="auto"/>
        <w:jc w:val="both"/>
        <w:rPr>
          <w:rFonts w:cstheme="minorHAnsi"/>
          <w:b/>
          <w:bCs/>
          <w:color w:val="C00000"/>
          <w:sz w:val="44"/>
          <w:szCs w:val="44"/>
        </w:rPr>
      </w:pPr>
      <w:r w:rsidRPr="00E23413">
        <w:rPr>
          <w:rFonts w:cstheme="minorHAnsi"/>
          <w:b/>
          <w:bCs/>
          <w:color w:val="C00000"/>
          <w:sz w:val="44"/>
          <w:szCs w:val="44"/>
        </w:rPr>
        <w:lastRenderedPageBreak/>
        <w:t>Informazioni storico-bibliografiche</w:t>
      </w:r>
    </w:p>
    <w:p w14:paraId="62142756" w14:textId="77777777" w:rsidR="00871AF9" w:rsidRPr="005A76F9" w:rsidRDefault="00871AF9" w:rsidP="00444180">
      <w:pPr>
        <w:spacing w:after="0" w:line="240" w:lineRule="auto"/>
        <w:jc w:val="both"/>
        <w:rPr>
          <w:rFonts w:cstheme="minorHAnsi"/>
          <w:sz w:val="24"/>
          <w:szCs w:val="24"/>
        </w:rPr>
      </w:pPr>
      <w:r w:rsidRPr="005A76F9">
        <w:rPr>
          <w:rFonts w:cstheme="minorHAnsi"/>
          <w:sz w:val="24"/>
          <w:szCs w:val="24"/>
        </w:rPr>
        <w:t xml:space="preserve">Per garantire un servizio di educazione e formazione adeguato alle richieste di un mondo in rapida e tormentata evoluzione, è necessaria l’integrazione delle professionalità che nella scuola s'incontrano e sono chiamate a collaborare: dirigenti scolastici, docenti, direttori </w:t>
      </w:r>
      <w:proofErr w:type="spellStart"/>
      <w:r w:rsidRPr="005A76F9">
        <w:rPr>
          <w:rFonts w:cstheme="minorHAnsi"/>
          <w:sz w:val="24"/>
          <w:szCs w:val="24"/>
        </w:rPr>
        <w:t>sga</w:t>
      </w:r>
      <w:proofErr w:type="spellEnd"/>
      <w:r w:rsidRPr="005A76F9">
        <w:rPr>
          <w:rFonts w:cstheme="minorHAnsi"/>
          <w:sz w:val="24"/>
          <w:szCs w:val="24"/>
        </w:rPr>
        <w:t>, assistenti amministrativi e altre figure di coordinamento e supporto gestionale ed organizzativo.</w:t>
      </w:r>
    </w:p>
    <w:p w14:paraId="3A360A19" w14:textId="77777777" w:rsidR="00871AF9" w:rsidRPr="005A76F9" w:rsidRDefault="00871AF9" w:rsidP="00444180">
      <w:pPr>
        <w:spacing w:after="0" w:line="240" w:lineRule="auto"/>
        <w:jc w:val="both"/>
        <w:rPr>
          <w:rFonts w:cstheme="minorHAnsi"/>
          <w:sz w:val="24"/>
          <w:szCs w:val="24"/>
        </w:rPr>
      </w:pPr>
      <w:r w:rsidRPr="005A76F9">
        <w:rPr>
          <w:rFonts w:cstheme="minorHAnsi"/>
          <w:sz w:val="24"/>
          <w:szCs w:val="24"/>
        </w:rPr>
        <w:t>Ciò a maggior ragione dopo l’attribuzione dell’autonomia funzionale agli istituti scolastici, che ne ha profondamente ridisegnato poteri e funzioni. Come per un qualsiasi operatore privato del mercato, infatti, le scuole hanno gli stessi obblighi di adempimenti contrattuali, amministrativi, fiscali, ecc. Per gestire questa complessità occorrono, oltre alle competenze amministrative, competenze relative alla gestione del personale, alla progettazione organizzativa, alla gestione del cambiamento, alla comunicazione organizzativa. Non dimentichiamo, ancora, l’integrazione con la cultura economica, che proietta la scuola in una logica diversa, fatta di budget, di risorse, di costi e di risultati.</w:t>
      </w:r>
    </w:p>
    <w:p w14:paraId="462E4496" w14:textId="77777777" w:rsidR="00871AF9" w:rsidRPr="005A76F9" w:rsidRDefault="00871AF9" w:rsidP="00444180">
      <w:pPr>
        <w:spacing w:after="0" w:line="240" w:lineRule="auto"/>
        <w:jc w:val="both"/>
        <w:rPr>
          <w:rFonts w:cstheme="minorHAnsi"/>
          <w:b/>
          <w:bCs/>
          <w:sz w:val="24"/>
          <w:szCs w:val="24"/>
        </w:rPr>
      </w:pPr>
      <w:r w:rsidRPr="005A76F9">
        <w:rPr>
          <w:rFonts w:cstheme="minorHAnsi"/>
          <w:sz w:val="24"/>
          <w:szCs w:val="24"/>
        </w:rPr>
        <w:t xml:space="preserve">Solo con l’esercizio sinergico di tante competenze la scuola può assolvere al meglio alla propria funzione. </w:t>
      </w:r>
      <w:r w:rsidRPr="005A76F9">
        <w:rPr>
          <w:rFonts w:cstheme="minorHAnsi"/>
          <w:b/>
          <w:bCs/>
          <w:sz w:val="24"/>
          <w:szCs w:val="24"/>
        </w:rPr>
        <w:t>È questo il presupposto dell'</w:t>
      </w:r>
      <w:r w:rsidRPr="005A76F9">
        <w:rPr>
          <w:rFonts w:cstheme="minorHAnsi"/>
          <w:b/>
          <w:bCs/>
          <w:i/>
          <w:iCs/>
          <w:sz w:val="24"/>
          <w:szCs w:val="24"/>
        </w:rPr>
        <w:t>Agenda</w:t>
      </w:r>
      <w:r w:rsidRPr="005A76F9">
        <w:rPr>
          <w:rFonts w:cstheme="minorHAnsi"/>
          <w:b/>
          <w:bCs/>
          <w:sz w:val="24"/>
          <w:szCs w:val="24"/>
        </w:rPr>
        <w:t xml:space="preserve"> </w:t>
      </w:r>
      <w:r w:rsidRPr="005A76F9">
        <w:rPr>
          <w:rFonts w:cstheme="minorHAnsi"/>
          <w:b/>
          <w:bCs/>
          <w:i/>
          <w:iCs/>
          <w:sz w:val="24"/>
          <w:szCs w:val="24"/>
        </w:rPr>
        <w:t>della scuola</w:t>
      </w:r>
      <w:r w:rsidRPr="005A76F9">
        <w:rPr>
          <w:rFonts w:cstheme="minorHAnsi"/>
          <w:b/>
          <w:bCs/>
          <w:sz w:val="24"/>
          <w:szCs w:val="24"/>
        </w:rPr>
        <w:t xml:space="preserve">, un nuovo strumento al servizio degli operatori scolastici, che racchiude in sé le diverse anime di </w:t>
      </w:r>
      <w:r w:rsidRPr="005A76F9">
        <w:rPr>
          <w:rFonts w:cstheme="minorHAnsi"/>
          <w:b/>
          <w:bCs/>
          <w:i/>
          <w:iCs/>
          <w:sz w:val="24"/>
          <w:szCs w:val="24"/>
        </w:rPr>
        <w:t>Esperienze Amministrative</w:t>
      </w:r>
      <w:r w:rsidRPr="005A76F9">
        <w:rPr>
          <w:rFonts w:cstheme="minorHAnsi"/>
          <w:b/>
          <w:bCs/>
          <w:sz w:val="24"/>
          <w:szCs w:val="24"/>
        </w:rPr>
        <w:t>, portandole a un maggiore approfondimento.</w:t>
      </w:r>
    </w:p>
    <w:p w14:paraId="12E286A4" w14:textId="41E1B44C" w:rsidR="00871AF9" w:rsidRPr="005A76F9" w:rsidRDefault="00871AF9" w:rsidP="00444180">
      <w:pPr>
        <w:spacing w:after="0" w:line="240" w:lineRule="auto"/>
        <w:jc w:val="both"/>
        <w:rPr>
          <w:rFonts w:cstheme="minorHAnsi"/>
          <w:sz w:val="24"/>
          <w:szCs w:val="24"/>
        </w:rPr>
      </w:pPr>
      <w:hyperlink r:id="rId10" w:history="1">
        <w:r w:rsidRPr="005A76F9">
          <w:rPr>
            <w:rStyle w:val="Collegamentoipertestuale"/>
            <w:rFonts w:cstheme="minorHAnsi"/>
            <w:sz w:val="24"/>
            <w:szCs w:val="24"/>
          </w:rPr>
          <w:t>https://www.notiziedellascuola.it/catalogo/riviste/esperienze-amministrative/2011/1345</w:t>
        </w:r>
      </w:hyperlink>
      <w:r w:rsidRPr="005A76F9">
        <w:rPr>
          <w:rFonts w:cstheme="minorHAnsi"/>
          <w:sz w:val="24"/>
          <w:szCs w:val="24"/>
        </w:rPr>
        <w:t xml:space="preserve">. </w:t>
      </w:r>
    </w:p>
    <w:p w14:paraId="51158C64" w14:textId="6D91F14A" w:rsidR="00871AF9" w:rsidRPr="005A76F9" w:rsidRDefault="00871AF9" w:rsidP="00444180">
      <w:pPr>
        <w:spacing w:after="0" w:line="240" w:lineRule="auto"/>
        <w:jc w:val="both"/>
        <w:rPr>
          <w:rFonts w:cstheme="minorHAnsi"/>
          <w:sz w:val="24"/>
          <w:szCs w:val="24"/>
        </w:rPr>
      </w:pPr>
      <w:r w:rsidRPr="005A76F9">
        <w:rPr>
          <w:rFonts w:cstheme="minorHAnsi"/>
          <w:b/>
          <w:bCs/>
          <w:sz w:val="24"/>
          <w:szCs w:val="24"/>
        </w:rPr>
        <w:t>Esperienze Amministrative</w:t>
      </w:r>
      <w:r w:rsidRPr="005A76F9">
        <w:rPr>
          <w:rFonts w:cstheme="minorHAnsi"/>
          <w:b/>
          <w:bCs/>
          <w:sz w:val="24"/>
          <w:szCs w:val="24"/>
        </w:rPr>
        <w:t xml:space="preserve"> </w:t>
      </w:r>
      <w:r w:rsidRPr="005A76F9">
        <w:rPr>
          <w:rFonts w:cstheme="minorHAnsi"/>
          <w:b/>
          <w:bCs/>
          <w:sz w:val="24"/>
          <w:szCs w:val="24"/>
        </w:rPr>
        <w:t>AGENDA della SCUOLA 2024/2025</w:t>
      </w:r>
    </w:p>
    <w:p w14:paraId="151CDA14" w14:textId="0CB3585D" w:rsidR="00871AF9" w:rsidRPr="005A76F9" w:rsidRDefault="00871AF9" w:rsidP="00444180">
      <w:pPr>
        <w:spacing w:after="0" w:line="240" w:lineRule="auto"/>
        <w:jc w:val="both"/>
        <w:rPr>
          <w:rFonts w:cstheme="minorHAnsi"/>
          <w:sz w:val="24"/>
          <w:szCs w:val="24"/>
        </w:rPr>
      </w:pPr>
      <w:r w:rsidRPr="005A76F9">
        <w:rPr>
          <w:rFonts w:cstheme="minorHAnsi"/>
          <w:b/>
          <w:bCs/>
          <w:sz w:val="24"/>
          <w:szCs w:val="24"/>
        </w:rPr>
        <w:t>È una guida operativa dedicata a tutto il personale che, con diversi profili, si occupa di amministrazione e gestione scolastica.</w:t>
      </w:r>
      <w:r w:rsidRPr="005A76F9">
        <w:rPr>
          <w:rFonts w:cstheme="minorHAnsi"/>
          <w:sz w:val="24"/>
          <w:szCs w:val="24"/>
        </w:rPr>
        <w:t xml:space="preserve"> Si propone come strumento per accompagnare gli operatori della scuola nella pratica quotidiana e nella concreta gestione delle proprie funzioni e mansioni, lungo l’arco dell’intero anno scolastico. </w:t>
      </w:r>
      <w:r w:rsidRPr="005A76F9">
        <w:rPr>
          <w:rFonts w:cstheme="minorHAnsi"/>
          <w:b/>
          <w:bCs/>
          <w:sz w:val="24"/>
          <w:szCs w:val="24"/>
        </w:rPr>
        <w:t>AGENDA della SCUOLA 2024/2025 </w:t>
      </w:r>
      <w:r w:rsidRPr="005A76F9">
        <w:rPr>
          <w:rFonts w:cstheme="minorHAnsi"/>
          <w:sz w:val="24"/>
          <w:szCs w:val="24"/>
        </w:rPr>
        <w:t>è suddivisa in due parti:</w:t>
      </w:r>
    </w:p>
    <w:p w14:paraId="01D22533" w14:textId="77777777" w:rsidR="00871AF9" w:rsidRPr="005A76F9" w:rsidRDefault="00871AF9" w:rsidP="00444180">
      <w:pPr>
        <w:spacing w:after="0" w:line="240" w:lineRule="auto"/>
        <w:jc w:val="both"/>
        <w:rPr>
          <w:rFonts w:cstheme="minorHAnsi"/>
          <w:sz w:val="24"/>
          <w:szCs w:val="24"/>
        </w:rPr>
      </w:pPr>
      <w:r w:rsidRPr="005A76F9">
        <w:rPr>
          <w:rFonts w:cstheme="minorHAnsi"/>
          <w:b/>
          <w:bCs/>
          <w:sz w:val="24"/>
          <w:szCs w:val="24"/>
        </w:rPr>
        <w:t>1) Descrizione degli adempimenti: incarichi e ruoli, procedure, scadenze</w:t>
      </w:r>
    </w:p>
    <w:p w14:paraId="75E9CB9F" w14:textId="77777777" w:rsidR="00871AF9" w:rsidRPr="005A76F9" w:rsidRDefault="00871AF9" w:rsidP="00444180">
      <w:pPr>
        <w:spacing w:after="0" w:line="240" w:lineRule="auto"/>
        <w:jc w:val="both"/>
        <w:rPr>
          <w:rFonts w:cstheme="minorHAnsi"/>
          <w:sz w:val="24"/>
          <w:szCs w:val="24"/>
        </w:rPr>
      </w:pPr>
      <w:r w:rsidRPr="005A76F9">
        <w:rPr>
          <w:rFonts w:cstheme="minorHAnsi"/>
          <w:sz w:val="24"/>
          <w:szCs w:val="24"/>
        </w:rPr>
        <w:t>La prima parte illustra gli adempimenti relativi al trimestre di riferimento, il calendario delle attività collegiali e di coordinamento, le scadenze da ricordare. Gli adempimenti sono</w:t>
      </w:r>
      <w:r w:rsidRPr="005A76F9">
        <w:rPr>
          <w:rFonts w:cstheme="minorHAnsi"/>
          <w:b/>
          <w:bCs/>
          <w:sz w:val="24"/>
          <w:szCs w:val="24"/>
        </w:rPr>
        <w:t xml:space="preserve"> </w:t>
      </w:r>
      <w:r w:rsidRPr="005A76F9">
        <w:rPr>
          <w:rFonts w:cstheme="minorHAnsi"/>
          <w:sz w:val="24"/>
          <w:szCs w:val="24"/>
        </w:rPr>
        <w:t xml:space="preserve">organizzati in </w:t>
      </w:r>
      <w:proofErr w:type="gramStart"/>
      <w:r w:rsidRPr="005A76F9">
        <w:rPr>
          <w:rFonts w:cstheme="minorHAnsi"/>
          <w:sz w:val="24"/>
          <w:szCs w:val="24"/>
        </w:rPr>
        <w:t>6</w:t>
      </w:r>
      <w:proofErr w:type="gramEnd"/>
      <w:r w:rsidRPr="005A76F9">
        <w:rPr>
          <w:rFonts w:cstheme="minorHAnsi"/>
          <w:sz w:val="24"/>
          <w:szCs w:val="24"/>
        </w:rPr>
        <w:t xml:space="preserve"> aree tematiche e descritti mettendo in evidenza la loro collocazione nel tempo e l’apporto di ciascuna delle figure della scuola.</w:t>
      </w:r>
    </w:p>
    <w:p w14:paraId="1428ACD7" w14:textId="77777777" w:rsidR="00871AF9" w:rsidRPr="005A76F9" w:rsidRDefault="00871AF9" w:rsidP="00444180">
      <w:pPr>
        <w:spacing w:after="0" w:line="240" w:lineRule="auto"/>
        <w:jc w:val="both"/>
        <w:rPr>
          <w:rFonts w:cstheme="minorHAnsi"/>
          <w:sz w:val="24"/>
          <w:szCs w:val="24"/>
        </w:rPr>
      </w:pPr>
      <w:r w:rsidRPr="005A76F9">
        <w:rPr>
          <w:rFonts w:cstheme="minorHAnsi"/>
          <w:b/>
          <w:bCs/>
          <w:sz w:val="24"/>
          <w:szCs w:val="24"/>
        </w:rPr>
        <w:t>2) Per saperne di più: approfondimenti tematici + esempi e modulistica</w:t>
      </w:r>
    </w:p>
    <w:p w14:paraId="777B6003" w14:textId="77777777" w:rsidR="00871AF9" w:rsidRPr="005A76F9" w:rsidRDefault="00871AF9" w:rsidP="00444180">
      <w:pPr>
        <w:spacing w:after="0" w:line="240" w:lineRule="auto"/>
        <w:jc w:val="both"/>
        <w:rPr>
          <w:rFonts w:cstheme="minorHAnsi"/>
          <w:sz w:val="24"/>
          <w:szCs w:val="24"/>
        </w:rPr>
      </w:pPr>
      <w:r w:rsidRPr="005A76F9">
        <w:rPr>
          <w:rFonts w:cstheme="minorHAnsi"/>
          <w:sz w:val="24"/>
          <w:szCs w:val="24"/>
        </w:rPr>
        <w:t>La seconda parte è dedicata all'approfondimento di specifici temi di particolare rilevanza, con analisi e studi a cura di un vasto staff tecnico di esperti dei vari settori. Gli argomenti sono sviluppati con attenzione sia agli aspetti normativi che alla pratica operativa, arricchiti da esempi, approfondimenti, schede esemplificative e modelli operativi.</w:t>
      </w:r>
    </w:p>
    <w:p w14:paraId="07AC54FA" w14:textId="77777777" w:rsidR="00871AF9" w:rsidRPr="005A76F9" w:rsidRDefault="00871AF9" w:rsidP="00444180">
      <w:pPr>
        <w:spacing w:after="0" w:line="240" w:lineRule="auto"/>
        <w:jc w:val="both"/>
        <w:rPr>
          <w:rFonts w:cstheme="minorHAnsi"/>
          <w:sz w:val="24"/>
          <w:szCs w:val="24"/>
        </w:rPr>
      </w:pPr>
      <w:r w:rsidRPr="005A76F9">
        <w:rPr>
          <w:rFonts w:cstheme="minorHAnsi"/>
          <w:b/>
          <w:bCs/>
          <w:sz w:val="24"/>
          <w:szCs w:val="24"/>
        </w:rPr>
        <w:t>E ancora: accesso all’area internet riservata</w:t>
      </w:r>
    </w:p>
    <w:p w14:paraId="7944A1C8" w14:textId="77777777" w:rsidR="00871AF9" w:rsidRPr="005A76F9" w:rsidRDefault="00871AF9" w:rsidP="00444180">
      <w:pPr>
        <w:spacing w:after="0" w:line="240" w:lineRule="auto"/>
        <w:jc w:val="both"/>
        <w:rPr>
          <w:rFonts w:cstheme="minorHAnsi"/>
          <w:sz w:val="24"/>
          <w:szCs w:val="24"/>
        </w:rPr>
      </w:pPr>
      <w:r w:rsidRPr="005A76F9">
        <w:rPr>
          <w:rFonts w:cstheme="minorHAnsi"/>
          <w:sz w:val="24"/>
          <w:szCs w:val="24"/>
        </w:rPr>
        <w:t>Tutte le schede, qualora presenti, sono pubblicate anche on line in formato Word e sono facilmente scaricabili per poter essere compilate e personalizzate.</w:t>
      </w:r>
    </w:p>
    <w:p w14:paraId="6E8E9117" w14:textId="6775F027" w:rsidR="00871AF9" w:rsidRPr="005A76F9" w:rsidRDefault="00871AF9" w:rsidP="00444180">
      <w:pPr>
        <w:spacing w:after="0" w:line="240" w:lineRule="auto"/>
        <w:jc w:val="both"/>
        <w:rPr>
          <w:rFonts w:cstheme="minorHAnsi"/>
          <w:sz w:val="24"/>
          <w:szCs w:val="24"/>
        </w:rPr>
      </w:pPr>
      <w:r w:rsidRPr="005A76F9">
        <w:rPr>
          <w:rFonts w:cstheme="minorHAnsi"/>
          <w:sz w:val="24"/>
          <w:szCs w:val="24"/>
        </w:rPr>
        <w:t>L’</w:t>
      </w:r>
      <w:hyperlink r:id="rId11" w:history="1">
        <w:r w:rsidRPr="005A76F9">
          <w:rPr>
            <w:rStyle w:val="Collegamentoipertestuale"/>
            <w:rFonts w:cstheme="minorHAnsi"/>
            <w:b/>
            <w:bCs/>
            <w:sz w:val="24"/>
            <w:szCs w:val="24"/>
          </w:rPr>
          <w:t>area internet riservata agli abbonati</w:t>
        </w:r>
      </w:hyperlink>
      <w:r w:rsidRPr="005A76F9">
        <w:rPr>
          <w:rFonts w:cstheme="minorHAnsi"/>
          <w:sz w:val="24"/>
          <w:szCs w:val="24"/>
        </w:rPr>
        <w:t xml:space="preserve"> comprende anche l'archivio storico di </w:t>
      </w:r>
      <w:r w:rsidRPr="005A76F9">
        <w:rPr>
          <w:rFonts w:cstheme="minorHAnsi"/>
          <w:i/>
          <w:iCs/>
          <w:sz w:val="24"/>
          <w:szCs w:val="24"/>
        </w:rPr>
        <w:t>Esperienze Amministrative</w:t>
      </w:r>
      <w:r w:rsidRPr="005A76F9">
        <w:rPr>
          <w:rFonts w:cstheme="minorHAnsi"/>
          <w:sz w:val="24"/>
          <w:szCs w:val="24"/>
        </w:rPr>
        <w:t>.</w:t>
      </w:r>
      <w:r w:rsidR="005A76F9">
        <w:rPr>
          <w:rFonts w:cstheme="minorHAnsi"/>
          <w:sz w:val="24"/>
          <w:szCs w:val="24"/>
        </w:rPr>
        <w:t xml:space="preserve"> </w:t>
      </w:r>
      <w:r w:rsidRPr="005A76F9">
        <w:rPr>
          <w:rFonts w:cstheme="minorHAnsi"/>
          <w:sz w:val="24"/>
          <w:szCs w:val="24"/>
        </w:rPr>
        <w:t>L'abbonamento annuo ha il costo di € 80,00 e comprende:</w:t>
      </w:r>
    </w:p>
    <w:p w14:paraId="6E611A03" w14:textId="77777777" w:rsidR="00871AF9" w:rsidRPr="005A76F9" w:rsidRDefault="00871AF9" w:rsidP="00444180">
      <w:pPr>
        <w:numPr>
          <w:ilvl w:val="0"/>
          <w:numId w:val="1"/>
        </w:numPr>
        <w:spacing w:after="0" w:line="240" w:lineRule="auto"/>
        <w:jc w:val="both"/>
        <w:rPr>
          <w:rFonts w:cstheme="minorHAnsi"/>
          <w:sz w:val="24"/>
          <w:szCs w:val="24"/>
        </w:rPr>
      </w:pPr>
      <w:r w:rsidRPr="005A76F9">
        <w:rPr>
          <w:rFonts w:cstheme="minorHAnsi"/>
          <w:sz w:val="24"/>
          <w:szCs w:val="24"/>
        </w:rPr>
        <w:t>quattro numeri;</w:t>
      </w:r>
    </w:p>
    <w:p w14:paraId="1E2FCC45" w14:textId="77777777" w:rsidR="00871AF9" w:rsidRPr="005A76F9" w:rsidRDefault="00871AF9" w:rsidP="00444180">
      <w:pPr>
        <w:numPr>
          <w:ilvl w:val="0"/>
          <w:numId w:val="1"/>
        </w:numPr>
        <w:spacing w:after="0" w:line="240" w:lineRule="auto"/>
        <w:jc w:val="both"/>
        <w:rPr>
          <w:rFonts w:cstheme="minorHAnsi"/>
          <w:sz w:val="24"/>
          <w:szCs w:val="24"/>
        </w:rPr>
      </w:pPr>
      <w:r w:rsidRPr="005A76F9">
        <w:rPr>
          <w:rFonts w:cstheme="minorHAnsi"/>
          <w:sz w:val="24"/>
          <w:szCs w:val="24"/>
        </w:rPr>
        <w:t>supplementi;</w:t>
      </w:r>
    </w:p>
    <w:p w14:paraId="2ABC2B30" w14:textId="77777777" w:rsidR="00871AF9" w:rsidRPr="005A76F9" w:rsidRDefault="00871AF9" w:rsidP="00444180">
      <w:pPr>
        <w:numPr>
          <w:ilvl w:val="0"/>
          <w:numId w:val="1"/>
        </w:numPr>
        <w:spacing w:after="0" w:line="240" w:lineRule="auto"/>
        <w:jc w:val="both"/>
        <w:rPr>
          <w:rFonts w:cstheme="minorHAnsi"/>
          <w:sz w:val="24"/>
          <w:szCs w:val="24"/>
        </w:rPr>
      </w:pPr>
      <w:r w:rsidRPr="005A76F9">
        <w:rPr>
          <w:rFonts w:cstheme="minorHAnsi"/>
          <w:sz w:val="24"/>
          <w:szCs w:val="24"/>
        </w:rPr>
        <w:t>accesso all'area internet riservata</w:t>
      </w:r>
    </w:p>
    <w:p w14:paraId="0FD1AC27" w14:textId="77777777" w:rsidR="00871AF9" w:rsidRPr="005A76F9" w:rsidRDefault="00871AF9" w:rsidP="00444180">
      <w:pPr>
        <w:numPr>
          <w:ilvl w:val="0"/>
          <w:numId w:val="1"/>
        </w:numPr>
        <w:spacing w:after="0" w:line="240" w:lineRule="auto"/>
        <w:jc w:val="both"/>
        <w:rPr>
          <w:rFonts w:cstheme="minorHAnsi"/>
          <w:sz w:val="24"/>
          <w:szCs w:val="24"/>
        </w:rPr>
      </w:pPr>
      <w:r w:rsidRPr="005A76F9">
        <w:rPr>
          <w:rFonts w:cstheme="minorHAnsi"/>
          <w:sz w:val="24"/>
          <w:szCs w:val="24"/>
        </w:rPr>
        <w:t>webinar tematici.</w:t>
      </w:r>
    </w:p>
    <w:p w14:paraId="3F0300E3" w14:textId="0EA742EB" w:rsidR="00871AF9" w:rsidRPr="005A76F9" w:rsidRDefault="00871AF9" w:rsidP="00444180">
      <w:pPr>
        <w:spacing w:after="0" w:line="240" w:lineRule="auto"/>
        <w:jc w:val="both"/>
        <w:rPr>
          <w:rFonts w:cstheme="minorHAnsi"/>
          <w:sz w:val="24"/>
          <w:szCs w:val="24"/>
        </w:rPr>
      </w:pPr>
      <w:r w:rsidRPr="005A76F9">
        <w:rPr>
          <w:rFonts w:cstheme="minorHAnsi"/>
          <w:sz w:val="24"/>
          <w:szCs w:val="24"/>
        </w:rPr>
        <w:t>È possibile acquistare il singolo numero al prezzo di copertina.</w:t>
      </w:r>
    </w:p>
    <w:p w14:paraId="7145DC34" w14:textId="77777777" w:rsidR="00871AF9" w:rsidRPr="005A76F9" w:rsidRDefault="00871AF9" w:rsidP="00444180">
      <w:pPr>
        <w:spacing w:after="0" w:line="240" w:lineRule="auto"/>
        <w:jc w:val="both"/>
        <w:rPr>
          <w:rFonts w:cstheme="minorHAnsi"/>
          <w:sz w:val="24"/>
          <w:szCs w:val="24"/>
        </w:rPr>
      </w:pPr>
      <w:hyperlink r:id="rId12" w:history="1">
        <w:r w:rsidRPr="005A76F9">
          <w:rPr>
            <w:rStyle w:val="Collegamentoipertestuale"/>
            <w:rFonts w:cstheme="minorHAnsi"/>
            <w:b/>
            <w:bCs/>
            <w:sz w:val="24"/>
            <w:szCs w:val="24"/>
          </w:rPr>
          <w:t>Informazioni per ordinare la rivista</w:t>
        </w:r>
      </w:hyperlink>
    </w:p>
    <w:p w14:paraId="75D26B98" w14:textId="46C58552" w:rsidR="00871AF9" w:rsidRPr="005A76F9" w:rsidRDefault="00871AF9" w:rsidP="00444180">
      <w:pPr>
        <w:spacing w:after="0" w:line="240" w:lineRule="auto"/>
        <w:jc w:val="both"/>
        <w:rPr>
          <w:rFonts w:cstheme="minorHAnsi"/>
          <w:sz w:val="24"/>
          <w:szCs w:val="24"/>
        </w:rPr>
      </w:pPr>
      <w:hyperlink r:id="rId13" w:history="1">
        <w:r w:rsidRPr="005A76F9">
          <w:rPr>
            <w:rStyle w:val="Collegamentoipertestuale"/>
            <w:rFonts w:cstheme="minorHAnsi"/>
            <w:sz w:val="24"/>
            <w:szCs w:val="24"/>
          </w:rPr>
          <w:t>https://www.notiziedellascuola.it/catalogo/riviste/esperienze-amministrative</w:t>
        </w:r>
      </w:hyperlink>
      <w:r w:rsidRPr="005A76F9">
        <w:rPr>
          <w:rFonts w:cstheme="minorHAnsi"/>
          <w:sz w:val="24"/>
          <w:szCs w:val="24"/>
        </w:rPr>
        <w:t xml:space="preserve">. </w:t>
      </w:r>
    </w:p>
    <w:sectPr w:rsidR="00871AF9" w:rsidRPr="005A76F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4E9C"/>
    <w:multiLevelType w:val="multilevel"/>
    <w:tmpl w:val="180E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479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1157"/>
    <w:rsid w:val="0031062F"/>
    <w:rsid w:val="003605E3"/>
    <w:rsid w:val="00375F4B"/>
    <w:rsid w:val="003811E4"/>
    <w:rsid w:val="00444180"/>
    <w:rsid w:val="005A76F9"/>
    <w:rsid w:val="00653982"/>
    <w:rsid w:val="00871AF9"/>
    <w:rsid w:val="00BE46E7"/>
    <w:rsid w:val="00C71CAA"/>
    <w:rsid w:val="00D544E6"/>
    <w:rsid w:val="00E84EF4"/>
    <w:rsid w:val="00EF11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2E7C8"/>
  <w15:chartTrackingRefBased/>
  <w15:docId w15:val="{80E9854C-1C1B-4DCC-90FA-B69FD9B2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F115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F115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F115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F115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F115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F115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115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115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115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115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F115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F115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F115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F115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F115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115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115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115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1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115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115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115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115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1157"/>
    <w:rPr>
      <w:i/>
      <w:iCs/>
      <w:color w:val="404040" w:themeColor="text1" w:themeTint="BF"/>
    </w:rPr>
  </w:style>
  <w:style w:type="paragraph" w:styleId="Paragrafoelenco">
    <w:name w:val="List Paragraph"/>
    <w:basedOn w:val="Normale"/>
    <w:uiPriority w:val="34"/>
    <w:qFormat/>
    <w:rsid w:val="00EF1157"/>
    <w:pPr>
      <w:ind w:left="720"/>
      <w:contextualSpacing/>
    </w:pPr>
  </w:style>
  <w:style w:type="character" w:styleId="Enfasiintensa">
    <w:name w:val="Intense Emphasis"/>
    <w:basedOn w:val="Carpredefinitoparagrafo"/>
    <w:uiPriority w:val="21"/>
    <w:qFormat/>
    <w:rsid w:val="00EF1157"/>
    <w:rPr>
      <w:i/>
      <w:iCs/>
      <w:color w:val="365F91" w:themeColor="accent1" w:themeShade="BF"/>
    </w:rPr>
  </w:style>
  <w:style w:type="paragraph" w:styleId="Citazioneintensa">
    <w:name w:val="Intense Quote"/>
    <w:basedOn w:val="Normale"/>
    <w:next w:val="Normale"/>
    <w:link w:val="CitazioneintensaCarattere"/>
    <w:uiPriority w:val="30"/>
    <w:qFormat/>
    <w:rsid w:val="00EF115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F1157"/>
    <w:rPr>
      <w:i/>
      <w:iCs/>
      <w:color w:val="365F91" w:themeColor="accent1" w:themeShade="BF"/>
    </w:rPr>
  </w:style>
  <w:style w:type="character" w:styleId="Riferimentointenso">
    <w:name w:val="Intense Reference"/>
    <w:basedOn w:val="Carpredefinitoparagrafo"/>
    <w:uiPriority w:val="32"/>
    <w:qFormat/>
    <w:rsid w:val="00EF1157"/>
    <w:rPr>
      <w:b/>
      <w:bCs/>
      <w:smallCaps/>
      <w:color w:val="365F91" w:themeColor="accent1" w:themeShade="BF"/>
      <w:spacing w:val="5"/>
    </w:rPr>
  </w:style>
  <w:style w:type="character" w:styleId="Collegamentoipertestuale">
    <w:name w:val="Hyperlink"/>
    <w:basedOn w:val="Carpredefinitoparagrafo"/>
    <w:uiPriority w:val="99"/>
    <w:unhideWhenUsed/>
    <w:rsid w:val="00871AF9"/>
    <w:rPr>
      <w:color w:val="0000FF" w:themeColor="hyperlink"/>
      <w:u w:val="single"/>
    </w:rPr>
  </w:style>
  <w:style w:type="character" w:styleId="Menzionenonrisolta">
    <w:name w:val="Unresolved Mention"/>
    <w:basedOn w:val="Carpredefinitoparagrafo"/>
    <w:uiPriority w:val="99"/>
    <w:semiHidden/>
    <w:unhideWhenUsed/>
    <w:rsid w:val="0087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www.notiziedellascuola.it/catalogo/riviste/esperienze-amministrative"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notiziedellascuola.it/catalogo/ordin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notiziedellascuola.it/catalogo/ordini"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notiziedellascuola.it/catalogo/riviste/esperienze-amministrative/2011/134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2026-07-09T06:13:00Z</dcterms:created>
  <dcterms:modified xsi:type="dcterms:W3CDTF">2026-07-09T06:35:00Z</dcterms:modified>
</cp:coreProperties>
</file>