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4F063" w14:textId="29FE3D9C" w:rsidR="00B24256" w:rsidRPr="00F912FF" w:rsidRDefault="00B24256" w:rsidP="00D840D2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F912FF">
        <w:rPr>
          <w:rFonts w:cstheme="minorHAnsi"/>
          <w:b/>
          <w:color w:val="C00000"/>
          <w:sz w:val="44"/>
          <w:szCs w:val="44"/>
        </w:rPr>
        <w:t>B15</w:t>
      </w:r>
      <w:r>
        <w:rPr>
          <w:rFonts w:cstheme="minorHAnsi"/>
          <w:b/>
          <w:color w:val="C00000"/>
          <w:sz w:val="44"/>
          <w:szCs w:val="44"/>
        </w:rPr>
        <w:t>55</w:t>
      </w:r>
      <w:r w:rsidRPr="00F912FF">
        <w:rPr>
          <w:rFonts w:cstheme="minorHAnsi"/>
          <w:b/>
          <w:color w:val="C00000"/>
          <w:sz w:val="44"/>
          <w:szCs w:val="44"/>
        </w:rPr>
        <w:t xml:space="preserve"> </w:t>
      </w:r>
      <w:r w:rsidRPr="00F912FF">
        <w:rPr>
          <w:rFonts w:cstheme="minorHAnsi"/>
          <w:b/>
        </w:rPr>
        <w:tab/>
      </w:r>
      <w:r w:rsidRPr="00F912FF">
        <w:rPr>
          <w:rFonts w:cstheme="minorHAnsi"/>
          <w:b/>
          <w:sz w:val="16"/>
          <w:szCs w:val="16"/>
        </w:rPr>
        <w:tab/>
      </w:r>
      <w:r w:rsidRPr="00F912FF">
        <w:rPr>
          <w:rFonts w:cstheme="minorHAnsi"/>
          <w:b/>
          <w:sz w:val="16"/>
          <w:szCs w:val="16"/>
        </w:rPr>
        <w:tab/>
      </w:r>
      <w:r w:rsidRPr="00F912FF">
        <w:rPr>
          <w:rFonts w:cstheme="minorHAnsi"/>
          <w:b/>
          <w:sz w:val="16"/>
          <w:szCs w:val="16"/>
        </w:rPr>
        <w:tab/>
      </w:r>
      <w:r w:rsidRPr="00F912FF">
        <w:rPr>
          <w:rFonts w:cstheme="minorHAnsi"/>
          <w:b/>
          <w:sz w:val="16"/>
          <w:szCs w:val="16"/>
        </w:rPr>
        <w:tab/>
      </w:r>
      <w:r w:rsidRPr="00F912FF">
        <w:rPr>
          <w:rFonts w:cstheme="minorHAnsi"/>
          <w:b/>
          <w:sz w:val="16"/>
          <w:szCs w:val="16"/>
        </w:rPr>
        <w:tab/>
      </w:r>
      <w:r w:rsidRPr="00F912FF">
        <w:rPr>
          <w:rFonts w:cstheme="minorHAnsi"/>
          <w:b/>
          <w:sz w:val="16"/>
          <w:szCs w:val="16"/>
        </w:rPr>
        <w:tab/>
      </w:r>
      <w:r w:rsidRPr="00F912FF">
        <w:rPr>
          <w:rFonts w:cstheme="minorHAnsi"/>
          <w:b/>
          <w:sz w:val="16"/>
          <w:szCs w:val="16"/>
        </w:rPr>
        <w:tab/>
      </w:r>
      <w:r w:rsidRPr="00F912FF">
        <w:rPr>
          <w:rFonts w:cstheme="minorHAnsi"/>
          <w:b/>
          <w:sz w:val="16"/>
          <w:szCs w:val="16"/>
        </w:rPr>
        <w:tab/>
      </w:r>
      <w:r w:rsidRPr="00F912FF">
        <w:rPr>
          <w:rFonts w:cstheme="minorHAnsi"/>
          <w:i/>
          <w:sz w:val="16"/>
          <w:szCs w:val="16"/>
        </w:rPr>
        <w:t>Scheda creata il 2</w:t>
      </w:r>
      <w:r>
        <w:rPr>
          <w:rFonts w:cstheme="minorHAnsi"/>
          <w:i/>
          <w:sz w:val="16"/>
          <w:szCs w:val="16"/>
        </w:rPr>
        <w:t>2 ottobre 2026</w:t>
      </w:r>
    </w:p>
    <w:p w14:paraId="6E9F99C6" w14:textId="77777777" w:rsidR="00B24256" w:rsidRPr="00F912FF" w:rsidRDefault="00B24256" w:rsidP="00D840D2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F912FF">
        <w:rPr>
          <w:rFonts w:cstheme="minorHAnsi"/>
          <w:b/>
          <w:color w:val="C00000"/>
          <w:sz w:val="44"/>
          <w:szCs w:val="44"/>
        </w:rPr>
        <w:t>Descrizione storico-bibliografica</w:t>
      </w:r>
    </w:p>
    <w:p w14:paraId="3D9C23DC" w14:textId="30E36EE1" w:rsidR="00B24256" w:rsidRDefault="000D325B" w:rsidP="00D840D2">
      <w:pPr>
        <w:spacing w:after="0" w:line="240" w:lineRule="auto"/>
        <w:jc w:val="both"/>
        <w:rPr>
          <w:bCs/>
        </w:rPr>
      </w:pPr>
      <w:r>
        <w:rPr>
          <w:bCs/>
        </w:rPr>
        <w:t>*</w:t>
      </w:r>
      <w:r w:rsidR="00B24256" w:rsidRPr="000D325B">
        <w:rPr>
          <w:b/>
        </w:rPr>
        <w:t>Bollettino della Camera di commercio e d'arti di Parma</w:t>
      </w:r>
      <w:r w:rsidR="00B24256" w:rsidRPr="00B24256">
        <w:rPr>
          <w:bCs/>
        </w:rPr>
        <w:t xml:space="preserve">. - </w:t>
      </w:r>
      <w:proofErr w:type="gramStart"/>
      <w:r w:rsidR="00B24256" w:rsidRPr="00B24256">
        <w:rPr>
          <w:bCs/>
        </w:rPr>
        <w:t>Parma :</w:t>
      </w:r>
      <w:proofErr w:type="gramEnd"/>
      <w:r w:rsidR="00B24256" w:rsidRPr="00B24256">
        <w:rPr>
          <w:bCs/>
        </w:rPr>
        <w:t xml:space="preserve"> Stab. tipografico Michele Adorni, 18</w:t>
      </w:r>
      <w:r>
        <w:rPr>
          <w:bCs/>
        </w:rPr>
        <w:t>69</w:t>
      </w:r>
      <w:r w:rsidR="00B24256" w:rsidRPr="00B24256">
        <w:rPr>
          <w:bCs/>
        </w:rPr>
        <w:t xml:space="preserve">-1910. </w:t>
      </w:r>
      <w:r>
        <w:rPr>
          <w:bCs/>
        </w:rPr>
        <w:t>–</w:t>
      </w:r>
      <w:r w:rsidR="00B24256" w:rsidRPr="00B24256">
        <w:rPr>
          <w:bCs/>
        </w:rPr>
        <w:t xml:space="preserve"> </w:t>
      </w:r>
      <w:r>
        <w:rPr>
          <w:bCs/>
        </w:rPr>
        <w:t xml:space="preserve">41 </w:t>
      </w:r>
      <w:r w:rsidR="00B24256" w:rsidRPr="00B24256">
        <w:rPr>
          <w:bCs/>
        </w:rPr>
        <w:t>v</w:t>
      </w:r>
      <w:r>
        <w:rPr>
          <w:bCs/>
        </w:rPr>
        <w:t>olumi</w:t>
      </w:r>
      <w:r w:rsidR="00B24256" w:rsidRPr="00B24256">
        <w:rPr>
          <w:bCs/>
        </w:rPr>
        <w:t xml:space="preserve">. </w:t>
      </w:r>
      <w:r>
        <w:rPr>
          <w:bCs/>
        </w:rPr>
        <w:t>((</w:t>
      </w:r>
      <w:r w:rsidR="00B24256" w:rsidRPr="00B24256">
        <w:rPr>
          <w:bCs/>
        </w:rPr>
        <w:t>Bimensile. - Descrizione basata su: A</w:t>
      </w:r>
      <w:r>
        <w:rPr>
          <w:bCs/>
        </w:rPr>
        <w:t>nno</w:t>
      </w:r>
      <w:r w:rsidR="00B24256" w:rsidRPr="00B24256">
        <w:rPr>
          <w:bCs/>
        </w:rPr>
        <w:t xml:space="preserve"> 29, n. 2 (1897).</w:t>
      </w:r>
      <w:r w:rsidR="00B24256">
        <w:rPr>
          <w:bCs/>
        </w:rPr>
        <w:t xml:space="preserve"> – </w:t>
      </w:r>
      <w:r w:rsidRPr="000D325B">
        <w:rPr>
          <w:bCs/>
        </w:rPr>
        <w:t>LO10739134</w:t>
      </w:r>
    </w:p>
    <w:p w14:paraId="19A758AB" w14:textId="404FB7C6" w:rsidR="00B24256" w:rsidRPr="00B24256" w:rsidRDefault="00B24256" w:rsidP="00D840D2">
      <w:pPr>
        <w:spacing w:after="0" w:line="240" w:lineRule="auto"/>
        <w:jc w:val="both"/>
        <w:rPr>
          <w:bCs/>
        </w:rPr>
      </w:pPr>
      <w:r>
        <w:rPr>
          <w:bCs/>
        </w:rPr>
        <w:t xml:space="preserve">Autore: </w:t>
      </w:r>
      <w:r w:rsidRPr="00B24256">
        <w:rPr>
          <w:bCs/>
        </w:rPr>
        <w:t xml:space="preserve">Camera di commercio ed arti &lt;Parma&gt; </w:t>
      </w:r>
    </w:p>
    <w:p w14:paraId="652443E1" w14:textId="77777777" w:rsidR="00B24256" w:rsidRDefault="00B24256" w:rsidP="00D840D2">
      <w:pPr>
        <w:spacing w:after="0" w:line="240" w:lineRule="auto"/>
        <w:jc w:val="both"/>
        <w:rPr>
          <w:b/>
        </w:rPr>
      </w:pPr>
    </w:p>
    <w:p w14:paraId="69181708" w14:textId="12B13123" w:rsidR="00B24256" w:rsidRDefault="00B24256" w:rsidP="00D840D2">
      <w:pPr>
        <w:spacing w:after="0" w:line="240" w:lineRule="auto"/>
        <w:jc w:val="both"/>
        <w:rPr>
          <w:bCs/>
        </w:rPr>
      </w:pPr>
      <w:r>
        <w:rPr>
          <w:b/>
        </w:rPr>
        <w:t>*</w:t>
      </w:r>
      <w:r w:rsidRPr="00B24256">
        <w:rPr>
          <w:b/>
        </w:rPr>
        <w:t>Bollettino d'informazioni della Camera di commercio industria e agricoltura di Parma</w:t>
      </w:r>
      <w:r w:rsidRPr="00B24256">
        <w:rPr>
          <w:bCs/>
        </w:rPr>
        <w:t xml:space="preserve">. - </w:t>
      </w:r>
      <w:proofErr w:type="gramStart"/>
      <w:r w:rsidRPr="00B24256">
        <w:rPr>
          <w:bCs/>
        </w:rPr>
        <w:t>Parma :</w:t>
      </w:r>
      <w:proofErr w:type="gramEnd"/>
      <w:r w:rsidRPr="00B24256">
        <w:rPr>
          <w:bCs/>
        </w:rPr>
        <w:t xml:space="preserve"> [s.n.], 1</w:t>
      </w:r>
      <w:r>
        <w:rPr>
          <w:bCs/>
        </w:rPr>
        <w:t>9</w:t>
      </w:r>
      <w:r w:rsidR="000D325B">
        <w:rPr>
          <w:bCs/>
        </w:rPr>
        <w:t>11</w:t>
      </w:r>
      <w:r w:rsidRPr="00B24256">
        <w:rPr>
          <w:bCs/>
        </w:rPr>
        <w:t xml:space="preserve">-1959. </w:t>
      </w:r>
      <w:r w:rsidR="000D325B">
        <w:rPr>
          <w:bCs/>
        </w:rPr>
        <w:t>–</w:t>
      </w:r>
      <w:r w:rsidRPr="00B24256">
        <w:rPr>
          <w:bCs/>
        </w:rPr>
        <w:t xml:space="preserve"> </w:t>
      </w:r>
      <w:r w:rsidR="000D325B">
        <w:rPr>
          <w:bCs/>
        </w:rPr>
        <w:t xml:space="preserve">49 volumi. - </w:t>
      </w:r>
      <w:r w:rsidRPr="00B24256">
        <w:rPr>
          <w:bCs/>
        </w:rPr>
        <w:t>PAR0049818</w:t>
      </w:r>
      <w:r w:rsidR="000D325B">
        <w:rPr>
          <w:bCs/>
        </w:rPr>
        <w:t xml:space="preserve">; </w:t>
      </w:r>
      <w:r w:rsidR="000D325B" w:rsidRPr="00B24256">
        <w:rPr>
          <w:bCs/>
        </w:rPr>
        <w:t>TO00202096</w:t>
      </w:r>
    </w:p>
    <w:p w14:paraId="5464EED3" w14:textId="4E2B4C0E" w:rsidR="00B24256" w:rsidRDefault="00B24256" w:rsidP="00D840D2">
      <w:pPr>
        <w:spacing w:after="0" w:line="240" w:lineRule="auto"/>
        <w:jc w:val="both"/>
        <w:rPr>
          <w:b/>
        </w:rPr>
      </w:pPr>
      <w:r>
        <w:rPr>
          <w:bCs/>
        </w:rPr>
        <w:t>Variante del titolo: *</w:t>
      </w:r>
      <w:r w:rsidRPr="00B24256">
        <w:rPr>
          <w:bCs/>
        </w:rPr>
        <w:t>Bollettino di informazioni / CCIA di Parma</w:t>
      </w:r>
    </w:p>
    <w:p w14:paraId="7C8349F3" w14:textId="03FB77B1" w:rsidR="00B24256" w:rsidRDefault="00B24256" w:rsidP="00D840D2">
      <w:pPr>
        <w:spacing w:after="0" w:line="240" w:lineRule="auto"/>
        <w:jc w:val="both"/>
        <w:rPr>
          <w:bCs/>
        </w:rPr>
      </w:pPr>
      <w:r>
        <w:rPr>
          <w:bCs/>
        </w:rPr>
        <w:t xml:space="preserve">Autore: </w:t>
      </w:r>
      <w:r w:rsidRPr="00B24256">
        <w:rPr>
          <w:bCs/>
        </w:rPr>
        <w:t xml:space="preserve">Camera di commercio industria e agricoltura &lt;Parma&gt; </w:t>
      </w:r>
    </w:p>
    <w:p w14:paraId="4FB4683E" w14:textId="77777777" w:rsidR="00D840D2" w:rsidRDefault="00D840D2" w:rsidP="00D840D2">
      <w:pPr>
        <w:spacing w:after="0" w:line="240" w:lineRule="auto"/>
        <w:jc w:val="both"/>
        <w:rPr>
          <w:bCs/>
        </w:rPr>
      </w:pPr>
    </w:p>
    <w:p w14:paraId="38BF1C97" w14:textId="0465B6EA" w:rsidR="00B24256" w:rsidRPr="00B24256" w:rsidRDefault="000D325B" w:rsidP="00D840D2">
      <w:pPr>
        <w:spacing w:after="0" w:line="240" w:lineRule="auto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1B00FF7" wp14:editId="65A0D489">
            <wp:simplePos x="0" y="0"/>
            <wp:positionH relativeFrom="column">
              <wp:posOffset>-1633</wp:posOffset>
            </wp:positionH>
            <wp:positionV relativeFrom="paragraph">
              <wp:posOffset>1542</wp:posOffset>
            </wp:positionV>
            <wp:extent cx="2797200" cy="3960000"/>
            <wp:effectExtent l="0" t="0" r="3175" b="2540"/>
            <wp:wrapSquare wrapText="bothSides"/>
            <wp:docPr id="169448956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20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4256" w:rsidRPr="00B24256">
        <w:rPr>
          <w:b/>
        </w:rPr>
        <w:t xml:space="preserve">*Parma </w:t>
      </w:r>
      <w:proofErr w:type="gramStart"/>
      <w:r w:rsidR="00B24256" w:rsidRPr="00B24256">
        <w:rPr>
          <w:b/>
        </w:rPr>
        <w:t>economica</w:t>
      </w:r>
      <w:r w:rsidR="00B24256" w:rsidRPr="00B24256">
        <w:t xml:space="preserve"> :</w:t>
      </w:r>
      <w:proofErr w:type="gramEnd"/>
      <w:r w:rsidR="00B24256" w:rsidRPr="00B24256">
        <w:t xml:space="preserve"> bollettino a cura della Camera di commercio industria ed agricoltura di Parma. - N. 1 (gennaio </w:t>
      </w:r>
      <w:proofErr w:type="gramStart"/>
      <w:r w:rsidR="00B24256" w:rsidRPr="00B24256">
        <w:t>1960)-</w:t>
      </w:r>
      <w:proofErr w:type="gramEnd"/>
      <w:r w:rsidR="00B24256" w:rsidRPr="00B24256">
        <w:t xml:space="preserve">n. 1 (2014). – </w:t>
      </w:r>
      <w:proofErr w:type="gramStart"/>
      <w:r w:rsidR="00B24256" w:rsidRPr="00B24256">
        <w:t>Parma :</w:t>
      </w:r>
      <w:proofErr w:type="gramEnd"/>
      <w:r w:rsidR="00B24256" w:rsidRPr="00B24256">
        <w:t xml:space="preserve"> [s.n.], 1960-2014. – </w:t>
      </w:r>
      <w:proofErr w:type="gramStart"/>
      <w:r w:rsidR="00B24256" w:rsidRPr="00B24256">
        <w:t>volumi :</w:t>
      </w:r>
      <w:proofErr w:type="gramEnd"/>
      <w:r w:rsidR="00B24256" w:rsidRPr="00B24256">
        <w:t xml:space="preserve"> </w:t>
      </w:r>
      <w:proofErr w:type="gramStart"/>
      <w:r w:rsidR="00B24256" w:rsidRPr="00B24256">
        <w:t>ill. ;</w:t>
      </w:r>
      <w:proofErr w:type="gramEnd"/>
      <w:r w:rsidR="00B24256" w:rsidRPr="00B24256">
        <w:t xml:space="preserve"> 30 cm. ((Mensile, trimestrale dal 1974, quadrimestrale dal 2012. - Fondato nel 1869.  – Dal 2005 al 2014 disponibile anche in internet a: </w:t>
      </w:r>
      <w:hyperlink r:id="rId5" w:history="1">
        <w:r w:rsidR="00B24256" w:rsidRPr="00B24256">
          <w:rPr>
            <w:rStyle w:val="Collegamentoipertestuale"/>
          </w:rPr>
          <w:t>http://www.pr.camcom.it/portale/comunicazione/riv</w:t>
        </w:r>
        <w:r w:rsidR="00B24256" w:rsidRPr="00B24256">
          <w:rPr>
            <w:rStyle w:val="Collegamentoipertestuale"/>
          </w:rPr>
          <w:t>iste-e-pubblicazioni/archivio</w:t>
        </w:r>
      </w:hyperlink>
      <w:r w:rsidR="00B24256" w:rsidRPr="00B24256">
        <w:t>. - BNI 60-3877. – ISSN 1720-7452. - SBL0508162</w:t>
      </w:r>
    </w:p>
    <w:p w14:paraId="42A3C612" w14:textId="77777777" w:rsidR="00B24256" w:rsidRPr="00B24256" w:rsidRDefault="00B24256" w:rsidP="00D840D2">
      <w:pPr>
        <w:spacing w:after="0" w:line="240" w:lineRule="auto"/>
        <w:jc w:val="both"/>
      </w:pPr>
      <w:r w:rsidRPr="00B24256">
        <w:t>Autore: Camera di commercio industria artigianato e agricoltura &lt;Parma&gt;</w:t>
      </w:r>
    </w:p>
    <w:p w14:paraId="35372E28" w14:textId="77777777" w:rsidR="000D325B" w:rsidRDefault="000D325B" w:rsidP="00D840D2">
      <w:pPr>
        <w:spacing w:after="0" w:line="240" w:lineRule="auto"/>
        <w:jc w:val="both"/>
      </w:pPr>
    </w:p>
    <w:p w14:paraId="1FF28864" w14:textId="42C597B8" w:rsidR="00B24256" w:rsidRPr="00B24256" w:rsidRDefault="00B24256" w:rsidP="00D840D2">
      <w:pPr>
        <w:spacing w:after="0" w:line="240" w:lineRule="auto"/>
        <w:jc w:val="both"/>
      </w:pPr>
      <w:r w:rsidRPr="00B24256">
        <w:t xml:space="preserve">Soggetti: </w:t>
      </w:r>
      <w:r w:rsidR="000D325B">
        <w:t xml:space="preserve">Economia - </w:t>
      </w:r>
      <w:r w:rsidRPr="00B24256">
        <w:t>Parma &lt;prov.&gt; - Periodici</w:t>
      </w:r>
    </w:p>
    <w:p w14:paraId="366734BA" w14:textId="77777777" w:rsidR="00B24256" w:rsidRDefault="00B24256" w:rsidP="00D840D2">
      <w:pPr>
        <w:spacing w:after="0" w:line="240" w:lineRule="auto"/>
        <w:jc w:val="both"/>
      </w:pPr>
      <w:r w:rsidRPr="00B24256">
        <w:t>Classe: D330.94544</w:t>
      </w:r>
    </w:p>
    <w:p w14:paraId="263CF779" w14:textId="77777777" w:rsidR="00B24256" w:rsidRDefault="00B24256" w:rsidP="00D840D2">
      <w:pPr>
        <w:spacing w:after="0" w:line="240" w:lineRule="auto"/>
        <w:jc w:val="both"/>
      </w:pPr>
    </w:p>
    <w:p w14:paraId="3A5FC53D" w14:textId="77777777" w:rsidR="00B24256" w:rsidRDefault="00B24256" w:rsidP="00D840D2">
      <w:p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r w:rsidRPr="00F912FF">
        <w:rPr>
          <w:rFonts w:cstheme="minorHAnsi"/>
          <w:b/>
          <w:bCs/>
          <w:color w:val="C00000"/>
          <w:sz w:val="44"/>
          <w:szCs w:val="44"/>
        </w:rPr>
        <w:t>Informazioni storico-bibliografiche</w:t>
      </w:r>
    </w:p>
    <w:p w14:paraId="76898E64" w14:textId="77777777" w:rsidR="000D325B" w:rsidRPr="000D325B" w:rsidRDefault="000D325B" w:rsidP="00D840D2">
      <w:pPr>
        <w:spacing w:after="0" w:line="240" w:lineRule="auto"/>
        <w:jc w:val="both"/>
        <w:rPr>
          <w:rFonts w:cstheme="minorHAnsi"/>
        </w:rPr>
      </w:pPr>
      <w:r w:rsidRPr="000D325B">
        <w:rPr>
          <w:rFonts w:cstheme="minorHAnsi"/>
        </w:rPr>
        <w:t>29/07/2014</w:t>
      </w:r>
    </w:p>
    <w:p w14:paraId="16287AB5" w14:textId="77777777" w:rsidR="000D325B" w:rsidRPr="000D325B" w:rsidRDefault="000D325B" w:rsidP="00D840D2">
      <w:pPr>
        <w:spacing w:after="0" w:line="240" w:lineRule="auto"/>
        <w:jc w:val="both"/>
        <w:rPr>
          <w:rFonts w:cstheme="minorHAnsi"/>
          <w:b/>
          <w:bCs/>
        </w:rPr>
      </w:pPr>
      <w:r w:rsidRPr="000D325B">
        <w:rPr>
          <w:rFonts w:cstheme="minorHAnsi"/>
          <w:b/>
          <w:bCs/>
        </w:rPr>
        <w:t>IN EDICOLA IL NUOVO NOTIZIARIO DELLA CAMERA DI COMMERCIO</w:t>
      </w:r>
    </w:p>
    <w:p w14:paraId="29F82648" w14:textId="258DDFD4" w:rsidR="000D325B" w:rsidRPr="000D325B" w:rsidRDefault="000D325B" w:rsidP="00D840D2">
      <w:pPr>
        <w:spacing w:after="0" w:line="240" w:lineRule="auto"/>
        <w:jc w:val="both"/>
        <w:rPr>
          <w:rFonts w:cstheme="minorHAnsi"/>
        </w:rPr>
      </w:pPr>
      <w:r w:rsidRPr="000D325B">
        <w:rPr>
          <w:rFonts w:cstheme="minorHAnsi"/>
        </w:rPr>
        <w:t xml:space="preserve">Sarà in edicola dal 4 agosto il nuovo numero di </w:t>
      </w:r>
      <w:r w:rsidRPr="000D325B">
        <w:rPr>
          <w:rFonts w:cstheme="minorHAnsi"/>
          <w:b/>
          <w:bCs/>
          <w:i/>
          <w:iCs/>
        </w:rPr>
        <w:t>Parma Economica</w:t>
      </w:r>
      <w:r w:rsidRPr="000D325B">
        <w:rPr>
          <w:rFonts w:cstheme="minorHAnsi"/>
          <w:b/>
          <w:bCs/>
        </w:rPr>
        <w:t xml:space="preserve">, la storica rivista della Camera di Commercio di Parma </w:t>
      </w:r>
      <w:r w:rsidRPr="000D325B">
        <w:rPr>
          <w:rFonts w:cstheme="minorHAnsi"/>
        </w:rPr>
        <w:t>che dal 1869 offre al sistema sociale e imprenditoriale del territorio analisi economiche, informazioni di attualità e approfondimenti culturali.</w:t>
      </w:r>
      <w:r w:rsidR="00D840D2">
        <w:rPr>
          <w:rFonts w:cstheme="minorHAnsi"/>
        </w:rPr>
        <w:t xml:space="preserve"> </w:t>
      </w:r>
      <w:r w:rsidRPr="000D325B">
        <w:rPr>
          <w:rFonts w:cstheme="minorHAnsi"/>
        </w:rPr>
        <w:t xml:space="preserve">Il focus di apertura è dedicato a </w:t>
      </w:r>
      <w:r w:rsidRPr="000D325B">
        <w:rPr>
          <w:rFonts w:cstheme="minorHAnsi"/>
          <w:b/>
          <w:bCs/>
        </w:rPr>
        <w:t>un ampio approfondimento sul completamento del sistema dei Musei del cibo</w:t>
      </w:r>
      <w:r w:rsidRPr="000D325B">
        <w:rPr>
          <w:rFonts w:cstheme="minorHAnsi"/>
        </w:rPr>
        <w:t xml:space="preserve">: la recente apertura dei nuovi musei della pasta e del vino è l’ultimo tassello del progetto di valorizzazione delle eccellenze alimentari del territorio. Molto ricca anche la sezione </w:t>
      </w:r>
      <w:r w:rsidRPr="000D325B">
        <w:rPr>
          <w:rFonts w:cstheme="minorHAnsi"/>
          <w:i/>
          <w:iCs/>
        </w:rPr>
        <w:t>Economia e territorio</w:t>
      </w:r>
      <w:r w:rsidRPr="000D325B">
        <w:rPr>
          <w:rFonts w:cstheme="minorHAnsi"/>
        </w:rPr>
        <w:t xml:space="preserve">, con un articolo che fa il punto sullo stato del </w:t>
      </w:r>
      <w:r w:rsidRPr="000D325B">
        <w:rPr>
          <w:rFonts w:cstheme="minorHAnsi"/>
          <w:b/>
          <w:bCs/>
        </w:rPr>
        <w:t>Piano di sviluppo rurale dell’Emilia-Romagna</w:t>
      </w:r>
      <w:r w:rsidRPr="000D325B">
        <w:rPr>
          <w:rFonts w:cstheme="minorHAnsi"/>
        </w:rPr>
        <w:t xml:space="preserve"> e due servizi sullo stato dell’economia territoriale e sulle prospettive della ripresa economica.</w:t>
      </w:r>
      <w:r w:rsidR="00D840D2">
        <w:rPr>
          <w:rFonts w:cstheme="minorHAnsi"/>
        </w:rPr>
        <w:t xml:space="preserve"> </w:t>
      </w:r>
      <w:r w:rsidRPr="000D325B">
        <w:rPr>
          <w:rFonts w:cstheme="minorHAnsi"/>
        </w:rPr>
        <w:t xml:space="preserve">Da segnalare </w:t>
      </w:r>
      <w:r w:rsidRPr="000D325B">
        <w:rPr>
          <w:rFonts w:cstheme="minorHAnsi"/>
          <w:b/>
          <w:bCs/>
        </w:rPr>
        <w:t>l’analisi sui cambiamenti che la crisi sta imponendo alle abitudini di consumo</w:t>
      </w:r>
      <w:r w:rsidRPr="000D325B">
        <w:rPr>
          <w:rFonts w:cstheme="minorHAnsi"/>
        </w:rPr>
        <w:t xml:space="preserve">, nel breve ma soprattutto nel lungo periodo. </w:t>
      </w:r>
      <w:r w:rsidRPr="000D325B">
        <w:rPr>
          <w:rFonts w:cstheme="minorHAnsi"/>
        </w:rPr>
        <w:br/>
        <w:t xml:space="preserve">Infine, la sezione </w:t>
      </w:r>
      <w:r w:rsidRPr="000D325B">
        <w:rPr>
          <w:rFonts w:cstheme="minorHAnsi"/>
          <w:i/>
          <w:iCs/>
        </w:rPr>
        <w:t>Cultura e territorio</w:t>
      </w:r>
      <w:r w:rsidRPr="000D325B">
        <w:rPr>
          <w:rFonts w:cstheme="minorHAnsi"/>
        </w:rPr>
        <w:t xml:space="preserve"> dedica numerosi articoli a Parma e dintorni, tra i quali il </w:t>
      </w:r>
      <w:r w:rsidRPr="000D325B">
        <w:rPr>
          <w:rFonts w:cstheme="minorHAnsi"/>
          <w:b/>
          <w:bCs/>
        </w:rPr>
        <w:t>Festival internazionale del teatro universitario di Parma</w:t>
      </w:r>
      <w:r w:rsidRPr="000D325B">
        <w:rPr>
          <w:rFonts w:cstheme="minorHAnsi"/>
        </w:rPr>
        <w:t xml:space="preserve"> e un “viaggio” alla scoperta</w:t>
      </w:r>
      <w:r w:rsidRPr="000D325B">
        <w:rPr>
          <w:rFonts w:cstheme="minorHAnsi"/>
          <w:b/>
          <w:bCs/>
        </w:rPr>
        <w:t xml:space="preserve"> del legame tra il nostro territorio e la velocità</w:t>
      </w:r>
      <w:r w:rsidRPr="000D325B">
        <w:rPr>
          <w:rFonts w:cstheme="minorHAnsi"/>
        </w:rPr>
        <w:t>, fatto di sfide e personaggi passati alla storia, e con un’eredità ancora molto viva.</w:t>
      </w:r>
      <w:r w:rsidRPr="000D325B">
        <w:rPr>
          <w:rFonts w:cstheme="minorHAnsi"/>
        </w:rPr>
        <w:br/>
      </w:r>
      <w:r w:rsidRPr="000D325B">
        <w:rPr>
          <w:rFonts w:cstheme="minorHAnsi"/>
          <w:i/>
          <w:iCs/>
        </w:rPr>
        <w:t>Parma Economica</w:t>
      </w:r>
      <w:r w:rsidRPr="000D325B">
        <w:rPr>
          <w:rFonts w:cstheme="minorHAnsi"/>
        </w:rPr>
        <w:t xml:space="preserve"> è distribuita in circa 150 edicole di Parma e provincia in allegato alla </w:t>
      </w:r>
      <w:r w:rsidRPr="000D325B">
        <w:rPr>
          <w:rFonts w:cstheme="minorHAnsi"/>
          <w:i/>
          <w:iCs/>
        </w:rPr>
        <w:t>Gazzetta di Parma,</w:t>
      </w:r>
      <w:r w:rsidRPr="000D325B">
        <w:rPr>
          <w:rFonts w:cstheme="minorHAnsi"/>
        </w:rPr>
        <w:t xml:space="preserve"> e in alcune librerie.</w:t>
      </w:r>
    </w:p>
    <w:p w14:paraId="5063DF36" w14:textId="6FD1FB41" w:rsidR="0031062F" w:rsidRDefault="000D325B" w:rsidP="00D840D2">
      <w:pPr>
        <w:spacing w:after="0" w:line="240" w:lineRule="auto"/>
        <w:jc w:val="both"/>
      </w:pPr>
      <w:hyperlink r:id="rId6" w:history="1">
        <w:r w:rsidRPr="00457231">
          <w:rPr>
            <w:rStyle w:val="Collegamentoipertestuale"/>
            <w:rFonts w:cstheme="minorHAnsi"/>
          </w:rPr>
          <w:t>https://confcooperativeparma.net/news/in-edicola-il-nuovo-notiziario-della-camera-di-commercio</w:t>
        </w:r>
      </w:hyperlink>
    </w:p>
    <w:sectPr w:rsidR="0031062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64869"/>
    <w:rsid w:val="000D325B"/>
    <w:rsid w:val="0031062F"/>
    <w:rsid w:val="003605E3"/>
    <w:rsid w:val="00375F4B"/>
    <w:rsid w:val="003811E4"/>
    <w:rsid w:val="00653982"/>
    <w:rsid w:val="00764869"/>
    <w:rsid w:val="007E4AF0"/>
    <w:rsid w:val="00B24256"/>
    <w:rsid w:val="00C71CAA"/>
    <w:rsid w:val="00D544E6"/>
    <w:rsid w:val="00D840D2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C187D"/>
  <w15:chartTrackingRefBased/>
  <w15:docId w15:val="{0A5A157D-EF1B-4CFE-AF89-A73C6D254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648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648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6486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648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6486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648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648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648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648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6486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6486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6486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64869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64869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6486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6486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6486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6486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648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648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6486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648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648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6486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6486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64869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6486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64869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64869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2425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24256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D325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nfcooperativeparma.net/news/in-edicola-il-nuovo-notiziario-della-camera-di-commercio" TargetMode="External"/><Relationship Id="rId5" Type="http://schemas.openxmlformats.org/officeDocument/2006/relationships/hyperlink" Target="http://www.pr.camcom.it/portale/comunicazione/riviste-e-pubblicazioni/archivio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2026-10-22T02:20:00Z</dcterms:created>
  <dcterms:modified xsi:type="dcterms:W3CDTF">2026-10-22T02:43:00Z</dcterms:modified>
</cp:coreProperties>
</file>