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C7F3" w14:textId="0447B338" w:rsidR="00F13FD9" w:rsidRPr="00A42A84" w:rsidRDefault="00F13FD9" w:rsidP="00F13FD9">
      <w:pPr>
        <w:jc w:val="both"/>
        <w:rPr>
          <w:rFonts w:asciiTheme="minorHAnsi" w:hAnsiTheme="minorHAnsi" w:cstheme="minorHAnsi"/>
          <w:bCs/>
          <w:i/>
          <w:iCs/>
          <w:sz w:val="16"/>
          <w:szCs w:val="16"/>
        </w:rPr>
      </w:pPr>
      <w:r w:rsidRPr="00A42A84">
        <w:rPr>
          <w:rFonts w:asciiTheme="minorHAnsi" w:hAnsiTheme="minorHAnsi" w:cstheme="minorHAnsi"/>
          <w:b/>
          <w:color w:val="C00000"/>
          <w:sz w:val="44"/>
          <w:szCs w:val="44"/>
        </w:rPr>
        <w:t>CB24</w:t>
      </w:r>
      <w:r w:rsidRPr="00A42A84">
        <w:rPr>
          <w:rFonts w:asciiTheme="minorHAnsi" w:hAnsiTheme="minorHAnsi" w:cstheme="minorHAnsi"/>
          <w:b/>
          <w:color w:val="C00000"/>
          <w:sz w:val="44"/>
          <w:szCs w:val="44"/>
        </w:rPr>
        <w:tab/>
      </w:r>
      <w:r w:rsidRPr="00A42A84">
        <w:rPr>
          <w:rFonts w:asciiTheme="minorHAnsi" w:hAnsiTheme="minorHAnsi" w:cstheme="minorHAnsi"/>
          <w:bCs/>
          <w:i/>
          <w:iCs/>
        </w:rPr>
        <w:tab/>
      </w:r>
      <w:r w:rsidRPr="00A42A84">
        <w:rPr>
          <w:rFonts w:asciiTheme="minorHAnsi" w:hAnsiTheme="minorHAnsi" w:cstheme="minorHAnsi"/>
          <w:bCs/>
          <w:i/>
          <w:iCs/>
          <w:sz w:val="16"/>
          <w:szCs w:val="16"/>
        </w:rPr>
        <w:tab/>
      </w:r>
      <w:r w:rsidRPr="00A42A84">
        <w:rPr>
          <w:rFonts w:asciiTheme="minorHAnsi" w:hAnsiTheme="minorHAnsi" w:cstheme="minorHAnsi"/>
          <w:bCs/>
          <w:i/>
          <w:iCs/>
          <w:sz w:val="16"/>
          <w:szCs w:val="16"/>
        </w:rPr>
        <w:tab/>
      </w:r>
      <w:r w:rsidRPr="00A42A84">
        <w:rPr>
          <w:rFonts w:asciiTheme="minorHAnsi" w:hAnsiTheme="minorHAnsi" w:cstheme="minorHAnsi"/>
          <w:bCs/>
          <w:i/>
          <w:iCs/>
          <w:sz w:val="16"/>
          <w:szCs w:val="16"/>
        </w:rPr>
        <w:tab/>
      </w:r>
      <w:r w:rsidRPr="00A42A84">
        <w:rPr>
          <w:rFonts w:asciiTheme="minorHAnsi" w:hAnsiTheme="minorHAnsi" w:cstheme="minorHAnsi"/>
          <w:bCs/>
          <w:i/>
          <w:iCs/>
          <w:sz w:val="16"/>
          <w:szCs w:val="16"/>
        </w:rPr>
        <w:tab/>
      </w:r>
      <w:r w:rsidRPr="00A42A84">
        <w:rPr>
          <w:rFonts w:asciiTheme="minorHAnsi" w:hAnsiTheme="minorHAnsi" w:cstheme="minorHAnsi"/>
          <w:bCs/>
          <w:i/>
          <w:iCs/>
          <w:sz w:val="16"/>
          <w:szCs w:val="16"/>
        </w:rPr>
        <w:tab/>
      </w:r>
      <w:r w:rsidRPr="00A42A84">
        <w:rPr>
          <w:rFonts w:asciiTheme="minorHAnsi" w:hAnsiTheme="minorHAnsi" w:cstheme="minorHAnsi"/>
          <w:bCs/>
          <w:i/>
          <w:iCs/>
          <w:sz w:val="16"/>
          <w:szCs w:val="16"/>
        </w:rPr>
        <w:tab/>
      </w:r>
      <w:r w:rsidRPr="00A42A84">
        <w:rPr>
          <w:rFonts w:asciiTheme="minorHAnsi" w:hAnsiTheme="minorHAnsi" w:cstheme="minorHAnsi"/>
          <w:bCs/>
          <w:i/>
          <w:iCs/>
          <w:sz w:val="16"/>
          <w:szCs w:val="16"/>
        </w:rPr>
        <w:tab/>
        <w:t>scheda creata il 18 ottobre 2025</w:t>
      </w:r>
    </w:p>
    <w:p w14:paraId="77AAC395" w14:textId="1B326B77" w:rsidR="00A42A84" w:rsidRPr="00A42A84" w:rsidRDefault="00A42A84" w:rsidP="00F13FD9">
      <w:pPr>
        <w:jc w:val="both"/>
        <w:rPr>
          <w:rFonts w:asciiTheme="minorHAnsi" w:hAnsiTheme="minorHAnsi" w:cstheme="minorHAnsi"/>
          <w:bCs/>
          <w:i/>
          <w:iCs/>
          <w:sz w:val="16"/>
          <w:szCs w:val="16"/>
        </w:rPr>
      </w:pPr>
    </w:p>
    <w:p w14:paraId="45E376D7" w14:textId="78516E39" w:rsidR="00F13FD9" w:rsidRPr="00A42A84" w:rsidRDefault="00A42A84" w:rsidP="00F13FD9">
      <w:pPr>
        <w:jc w:val="both"/>
        <w:rPr>
          <w:rFonts w:asciiTheme="minorHAnsi" w:hAnsiTheme="minorHAnsi" w:cstheme="minorHAnsi"/>
          <w:b/>
          <w:color w:val="C00000"/>
          <w:sz w:val="44"/>
          <w:szCs w:val="44"/>
        </w:rPr>
      </w:pPr>
      <w:r w:rsidRPr="00A42A84">
        <w:rPr>
          <w:rFonts w:asciiTheme="minorHAnsi" w:hAnsiTheme="minorHAnsi" w:cstheme="minorHAnsi"/>
          <w:noProof/>
        </w:rPr>
        <w:drawing>
          <wp:anchor distT="0" distB="0" distL="114300" distR="114300" simplePos="0" relativeHeight="251657216" behindDoc="0" locked="0" layoutInCell="1" allowOverlap="1" wp14:anchorId="405E8E9F" wp14:editId="5F0E52D6">
            <wp:simplePos x="0" y="0"/>
            <wp:positionH relativeFrom="column">
              <wp:posOffset>0</wp:posOffset>
            </wp:positionH>
            <wp:positionV relativeFrom="page">
              <wp:posOffset>1457960</wp:posOffset>
            </wp:positionV>
            <wp:extent cx="2638800" cy="3960000"/>
            <wp:effectExtent l="0" t="0" r="9525" b="2540"/>
            <wp:wrapSquare wrapText="bothSides"/>
            <wp:docPr id="1143467965" name="Immagine 1" descr="La gioventù, ragguagli d'educazione e d'istruzione. Rivista quindicinale - Foto 1 d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gioventù, ragguagli d'educazione e d'istruzione. Rivista quindicinale - Foto 1 di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38800" cy="39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3FD9" w:rsidRPr="00A42A84">
        <w:rPr>
          <w:rFonts w:asciiTheme="minorHAnsi" w:hAnsiTheme="minorHAnsi" w:cstheme="minorHAnsi"/>
          <w:b/>
          <w:color w:val="C00000"/>
          <w:sz w:val="44"/>
          <w:szCs w:val="44"/>
        </w:rPr>
        <w:t>Descrizione bibliografica</w:t>
      </w:r>
    </w:p>
    <w:p w14:paraId="1635FC9B" w14:textId="35123C80" w:rsidR="00F13FD9" w:rsidRPr="00A42A84" w:rsidRDefault="00F13FD9" w:rsidP="00F13FD9">
      <w:pPr>
        <w:jc w:val="both"/>
        <w:rPr>
          <w:rFonts w:asciiTheme="minorHAnsi" w:hAnsiTheme="minorHAnsi" w:cstheme="minorHAnsi"/>
          <w:sz w:val="28"/>
          <w:szCs w:val="28"/>
        </w:rPr>
      </w:pPr>
      <w:r w:rsidRPr="00A42A84">
        <w:rPr>
          <w:rFonts w:asciiTheme="minorHAnsi" w:hAnsiTheme="minorHAnsi" w:cstheme="minorHAnsi"/>
          <w:sz w:val="28"/>
          <w:szCs w:val="28"/>
        </w:rPr>
        <w:t>La *</w:t>
      </w:r>
      <w:proofErr w:type="gramStart"/>
      <w:r w:rsidRPr="00A42A84">
        <w:rPr>
          <w:rFonts w:asciiTheme="minorHAnsi" w:hAnsiTheme="minorHAnsi" w:cstheme="minorHAnsi"/>
          <w:b/>
          <w:sz w:val="28"/>
          <w:szCs w:val="28"/>
        </w:rPr>
        <w:t xml:space="preserve">gioventù </w:t>
      </w:r>
      <w:r w:rsidRPr="00A42A84">
        <w:rPr>
          <w:rFonts w:asciiTheme="minorHAnsi" w:hAnsiTheme="minorHAnsi" w:cstheme="minorHAnsi"/>
          <w:sz w:val="28"/>
          <w:szCs w:val="28"/>
        </w:rPr>
        <w:t>:</w:t>
      </w:r>
      <w:proofErr w:type="gramEnd"/>
      <w:r w:rsidRPr="00A42A84">
        <w:rPr>
          <w:rFonts w:asciiTheme="minorHAnsi" w:hAnsiTheme="minorHAnsi" w:cstheme="minorHAnsi"/>
          <w:sz w:val="28"/>
          <w:szCs w:val="28"/>
        </w:rPr>
        <w:t xml:space="preserve"> ragguagli d'educazione e d'istruzione. - Anno 1, vol. 1, n. 1 (15 </w:t>
      </w:r>
      <w:proofErr w:type="spellStart"/>
      <w:r w:rsidRPr="00A42A84">
        <w:rPr>
          <w:rFonts w:asciiTheme="minorHAnsi" w:hAnsiTheme="minorHAnsi" w:cstheme="minorHAnsi"/>
          <w:sz w:val="28"/>
          <w:szCs w:val="28"/>
        </w:rPr>
        <w:t>genna</w:t>
      </w:r>
      <w:r w:rsidR="009926D2" w:rsidRPr="00A42A84">
        <w:rPr>
          <w:rFonts w:asciiTheme="minorHAnsi" w:hAnsiTheme="minorHAnsi" w:cstheme="minorHAnsi"/>
          <w:sz w:val="28"/>
          <w:szCs w:val="28"/>
        </w:rPr>
        <w:t>j</w:t>
      </w:r>
      <w:r w:rsidRPr="00A42A84">
        <w:rPr>
          <w:rFonts w:asciiTheme="minorHAnsi" w:hAnsiTheme="minorHAnsi" w:cstheme="minorHAnsi"/>
          <w:sz w:val="28"/>
          <w:szCs w:val="28"/>
        </w:rPr>
        <w:t>o</w:t>
      </w:r>
      <w:proofErr w:type="spellEnd"/>
      <w:r w:rsidRPr="00A42A84">
        <w:rPr>
          <w:rFonts w:asciiTheme="minorHAnsi" w:hAnsiTheme="minorHAnsi" w:cstheme="minorHAnsi"/>
          <w:sz w:val="28"/>
          <w:szCs w:val="28"/>
        </w:rPr>
        <w:t xml:space="preserve"> </w:t>
      </w:r>
      <w:proofErr w:type="gramStart"/>
      <w:r w:rsidRPr="00A42A84">
        <w:rPr>
          <w:rFonts w:asciiTheme="minorHAnsi" w:hAnsiTheme="minorHAnsi" w:cstheme="minorHAnsi"/>
          <w:sz w:val="28"/>
          <w:szCs w:val="28"/>
        </w:rPr>
        <w:t>1862)-</w:t>
      </w:r>
      <w:proofErr w:type="gramEnd"/>
      <w:r w:rsidRPr="00A42A84">
        <w:rPr>
          <w:rFonts w:asciiTheme="minorHAnsi" w:hAnsiTheme="minorHAnsi" w:cstheme="minorHAnsi"/>
          <w:sz w:val="28"/>
          <w:szCs w:val="28"/>
        </w:rPr>
        <w:t xml:space="preserve">anno 4, vol. 7, n. 6 (15 giugno 1865) = disp. 66; nuova serie, vol. 1, dispensa 1 (lug.-ago. </w:t>
      </w:r>
      <w:proofErr w:type="gramStart"/>
      <w:r w:rsidRPr="00A42A84">
        <w:rPr>
          <w:rFonts w:asciiTheme="minorHAnsi" w:hAnsiTheme="minorHAnsi" w:cstheme="minorHAnsi"/>
          <w:sz w:val="28"/>
          <w:szCs w:val="28"/>
        </w:rPr>
        <w:t>1865)-</w:t>
      </w:r>
      <w:proofErr w:type="gramEnd"/>
      <w:r w:rsidRPr="00A42A84">
        <w:rPr>
          <w:rFonts w:asciiTheme="minorHAnsi" w:hAnsiTheme="minorHAnsi" w:cstheme="minorHAnsi"/>
          <w:sz w:val="28"/>
          <w:szCs w:val="28"/>
        </w:rPr>
        <w:t xml:space="preserve">  </w:t>
      </w:r>
      <w:proofErr w:type="gramStart"/>
      <w:r w:rsidRPr="00A42A84">
        <w:rPr>
          <w:rFonts w:asciiTheme="minorHAnsi" w:hAnsiTheme="minorHAnsi" w:cstheme="minorHAnsi"/>
          <w:sz w:val="28"/>
          <w:szCs w:val="28"/>
        </w:rPr>
        <w:t xml:space="preserve">  .</w:t>
      </w:r>
      <w:proofErr w:type="gramEnd"/>
      <w:r w:rsidRPr="00A42A84">
        <w:rPr>
          <w:rFonts w:asciiTheme="minorHAnsi" w:hAnsiTheme="minorHAnsi" w:cstheme="minorHAnsi"/>
          <w:sz w:val="28"/>
          <w:szCs w:val="28"/>
        </w:rPr>
        <w:t xml:space="preserve"> - </w:t>
      </w:r>
      <w:proofErr w:type="gramStart"/>
      <w:r w:rsidRPr="00A42A84">
        <w:rPr>
          <w:rFonts w:asciiTheme="minorHAnsi" w:hAnsiTheme="minorHAnsi" w:cstheme="minorHAnsi"/>
          <w:sz w:val="28"/>
          <w:szCs w:val="28"/>
        </w:rPr>
        <w:t>Firenze :</w:t>
      </w:r>
      <w:proofErr w:type="gramEnd"/>
      <w:r w:rsidRPr="00A42A84">
        <w:rPr>
          <w:rFonts w:asciiTheme="minorHAnsi" w:hAnsiTheme="minorHAnsi" w:cstheme="minorHAnsi"/>
          <w:sz w:val="28"/>
          <w:szCs w:val="28"/>
        </w:rPr>
        <w:t xml:space="preserve"> </w:t>
      </w:r>
      <w:r w:rsidR="004768F6" w:rsidRPr="00A42A84">
        <w:rPr>
          <w:rFonts w:asciiTheme="minorHAnsi" w:hAnsiTheme="minorHAnsi" w:cstheme="minorHAnsi"/>
          <w:sz w:val="28"/>
          <w:szCs w:val="28"/>
        </w:rPr>
        <w:t>Cellini</w:t>
      </w:r>
      <w:r w:rsidRPr="00A42A84">
        <w:rPr>
          <w:rFonts w:asciiTheme="minorHAnsi" w:hAnsiTheme="minorHAnsi" w:cstheme="minorHAnsi"/>
          <w:sz w:val="28"/>
          <w:szCs w:val="28"/>
        </w:rPr>
        <w:t xml:space="preserve">, 1862-1871. – 10 </w:t>
      </w:r>
      <w:proofErr w:type="gramStart"/>
      <w:r w:rsidRPr="00A42A84">
        <w:rPr>
          <w:rFonts w:asciiTheme="minorHAnsi" w:hAnsiTheme="minorHAnsi" w:cstheme="minorHAnsi"/>
          <w:sz w:val="28"/>
          <w:szCs w:val="28"/>
        </w:rPr>
        <w:t>volumi ;</w:t>
      </w:r>
      <w:proofErr w:type="gramEnd"/>
      <w:r w:rsidRPr="00A42A84">
        <w:rPr>
          <w:rFonts w:asciiTheme="minorHAnsi" w:hAnsiTheme="minorHAnsi" w:cstheme="minorHAnsi"/>
          <w:sz w:val="28"/>
          <w:szCs w:val="28"/>
        </w:rPr>
        <w:t xml:space="preserve"> 22 cm. ((Quindicinale. - Dal 15 gennaio 1864: mensile. – Il sottotitolo varia: giornale di letteratura e d'istruzione (1863); giornale di letteratura, d'istruzione e di scienze (1865); rivista nazionale italiana di scienze, lettere, arti (lug.-ago. 1865). - TO00185320</w:t>
      </w:r>
    </w:p>
    <w:p w14:paraId="3028779D" w14:textId="156144E4" w:rsidR="00F13FD9" w:rsidRPr="00A42A84" w:rsidRDefault="00F13FD9" w:rsidP="00F13FD9">
      <w:pPr>
        <w:jc w:val="both"/>
        <w:rPr>
          <w:rFonts w:asciiTheme="minorHAnsi" w:hAnsiTheme="minorHAnsi" w:cstheme="minorHAnsi"/>
          <w:sz w:val="28"/>
          <w:szCs w:val="28"/>
        </w:rPr>
      </w:pPr>
      <w:r w:rsidRPr="00A42A84">
        <w:rPr>
          <w:rFonts w:asciiTheme="minorHAnsi" w:hAnsiTheme="minorHAnsi" w:cstheme="minorHAnsi"/>
          <w:color w:val="000000"/>
          <w:sz w:val="28"/>
          <w:szCs w:val="28"/>
        </w:rPr>
        <w:t xml:space="preserve">Continuazione di: </w:t>
      </w:r>
      <w:r w:rsidRPr="00A42A84">
        <w:rPr>
          <w:rFonts w:asciiTheme="minorHAnsi" w:hAnsiTheme="minorHAnsi" w:cstheme="minorHAnsi"/>
          <w:sz w:val="28"/>
          <w:szCs w:val="28"/>
        </w:rPr>
        <w:t>La *famiglia e la scuola [</w:t>
      </w:r>
      <w:r w:rsidRPr="00A42A84">
        <w:rPr>
          <w:rFonts w:asciiTheme="minorHAnsi" w:hAnsiTheme="minorHAnsi" w:cstheme="minorHAnsi"/>
          <w:sz w:val="28"/>
          <w:szCs w:val="28"/>
        </w:rPr>
        <w:t>C</w:t>
      </w:r>
      <w:r w:rsidRPr="00A42A84">
        <w:rPr>
          <w:rFonts w:asciiTheme="minorHAnsi" w:hAnsiTheme="minorHAnsi" w:cstheme="minorHAnsi"/>
          <w:sz w:val="28"/>
          <w:szCs w:val="28"/>
        </w:rPr>
        <w:t>C113]</w:t>
      </w:r>
    </w:p>
    <w:p w14:paraId="70D851C2" w14:textId="0F7A0BF8" w:rsidR="004768F6" w:rsidRPr="00A42A84" w:rsidRDefault="004768F6" w:rsidP="00F13FD9">
      <w:pPr>
        <w:jc w:val="both"/>
        <w:rPr>
          <w:rFonts w:asciiTheme="minorHAnsi" w:hAnsiTheme="minorHAnsi" w:cstheme="minorHAnsi"/>
          <w:sz w:val="28"/>
          <w:szCs w:val="28"/>
        </w:rPr>
      </w:pPr>
      <w:r w:rsidRPr="00A42A84">
        <w:rPr>
          <w:rFonts w:asciiTheme="minorHAnsi" w:hAnsiTheme="minorHAnsi" w:cstheme="minorHAnsi"/>
          <w:sz w:val="28"/>
          <w:szCs w:val="28"/>
        </w:rPr>
        <w:t>Soggetto: Educazione – 1862-1871</w:t>
      </w:r>
    </w:p>
    <w:p w14:paraId="53228EA5" w14:textId="6A1CEC27" w:rsidR="00F13FD9" w:rsidRPr="00A42A84" w:rsidRDefault="00F13FD9" w:rsidP="00F13FD9">
      <w:pPr>
        <w:jc w:val="both"/>
        <w:rPr>
          <w:rFonts w:asciiTheme="minorHAnsi" w:hAnsiTheme="minorHAnsi" w:cstheme="minorHAnsi"/>
          <w:sz w:val="28"/>
          <w:szCs w:val="28"/>
        </w:rPr>
      </w:pPr>
      <w:r w:rsidRPr="00A42A84">
        <w:rPr>
          <w:rFonts w:asciiTheme="minorHAnsi" w:hAnsiTheme="minorHAnsi" w:cstheme="minorHAnsi"/>
          <w:b/>
          <w:bCs/>
          <w:color w:val="C00000"/>
          <w:sz w:val="28"/>
          <w:szCs w:val="28"/>
        </w:rPr>
        <w:t>Copia digitale</w:t>
      </w:r>
      <w:r w:rsidRPr="00A42A84">
        <w:rPr>
          <w:rFonts w:asciiTheme="minorHAnsi" w:hAnsiTheme="minorHAnsi" w:cstheme="minorHAnsi"/>
          <w:color w:val="C00000"/>
          <w:sz w:val="28"/>
          <w:szCs w:val="28"/>
        </w:rPr>
        <w:t xml:space="preserve"> </w:t>
      </w:r>
      <w:hyperlink r:id="rId5" w:history="1">
        <w:r w:rsidRPr="00A42A84">
          <w:rPr>
            <w:rStyle w:val="Collegamentoipertestuale"/>
            <w:rFonts w:asciiTheme="minorHAnsi" w:hAnsiTheme="minorHAnsi" w:cstheme="minorHAnsi"/>
            <w:sz w:val="28"/>
            <w:szCs w:val="28"/>
          </w:rPr>
          <w:t>1862-1865</w:t>
        </w:r>
      </w:hyperlink>
      <w:r w:rsidR="009926D2" w:rsidRPr="00A42A84">
        <w:rPr>
          <w:rFonts w:asciiTheme="minorHAnsi" w:hAnsiTheme="minorHAnsi" w:cstheme="minorHAnsi"/>
          <w:sz w:val="28"/>
          <w:szCs w:val="28"/>
        </w:rPr>
        <w:t xml:space="preserve">; </w:t>
      </w:r>
      <w:hyperlink r:id="rId6" w:history="1">
        <w:r w:rsidR="009926D2" w:rsidRPr="00A42A84">
          <w:rPr>
            <w:rStyle w:val="Collegamentoipertestuale"/>
            <w:rFonts w:asciiTheme="minorHAnsi" w:hAnsiTheme="minorHAnsi" w:cstheme="minorHAnsi"/>
            <w:sz w:val="28"/>
            <w:szCs w:val="28"/>
          </w:rPr>
          <w:t>1864</w:t>
        </w:r>
      </w:hyperlink>
      <w:r w:rsidR="009926D2" w:rsidRPr="00A42A84">
        <w:rPr>
          <w:rFonts w:asciiTheme="minorHAnsi" w:hAnsiTheme="minorHAnsi" w:cstheme="minorHAnsi"/>
          <w:sz w:val="28"/>
          <w:szCs w:val="28"/>
        </w:rPr>
        <w:t xml:space="preserve">; </w:t>
      </w:r>
      <w:hyperlink r:id="rId7" w:history="1">
        <w:r w:rsidR="009926D2" w:rsidRPr="00A42A84">
          <w:rPr>
            <w:rStyle w:val="Collegamentoipertestuale"/>
            <w:rFonts w:asciiTheme="minorHAnsi" w:hAnsiTheme="minorHAnsi" w:cstheme="minorHAnsi"/>
            <w:sz w:val="28"/>
            <w:szCs w:val="28"/>
          </w:rPr>
          <w:t>1865</w:t>
        </w:r>
      </w:hyperlink>
      <w:r w:rsidR="00A42A84" w:rsidRPr="00A42A84">
        <w:rPr>
          <w:rFonts w:asciiTheme="minorHAnsi" w:hAnsiTheme="minorHAnsi" w:cstheme="minorHAnsi"/>
          <w:sz w:val="28"/>
          <w:szCs w:val="28"/>
        </w:rPr>
        <w:t xml:space="preserve">; </w:t>
      </w:r>
      <w:hyperlink r:id="rId8" w:history="1">
        <w:r w:rsidR="00A42A84" w:rsidRPr="00A42A84">
          <w:rPr>
            <w:rStyle w:val="Collegamentoipertestuale"/>
            <w:rFonts w:asciiTheme="minorHAnsi" w:hAnsiTheme="minorHAnsi" w:cstheme="minorHAnsi"/>
            <w:sz w:val="28"/>
            <w:szCs w:val="28"/>
          </w:rPr>
          <w:t>1866</w:t>
        </w:r>
      </w:hyperlink>
    </w:p>
    <w:p w14:paraId="7DB03740" w14:textId="77777777" w:rsidR="0031062F" w:rsidRPr="00A42A84" w:rsidRDefault="0031062F">
      <w:pPr>
        <w:rPr>
          <w:rFonts w:asciiTheme="minorHAnsi" w:hAnsiTheme="minorHAnsi" w:cstheme="minorHAnsi"/>
        </w:rPr>
      </w:pPr>
    </w:p>
    <w:p w14:paraId="07A62C3C" w14:textId="77777777" w:rsidR="00A42A84" w:rsidRDefault="00A42A84" w:rsidP="00F13FD9">
      <w:pPr>
        <w:jc w:val="both"/>
        <w:rPr>
          <w:rFonts w:asciiTheme="minorHAnsi" w:hAnsiTheme="minorHAnsi" w:cstheme="minorHAnsi"/>
          <w:b/>
          <w:bCs/>
          <w:color w:val="C00000"/>
          <w:sz w:val="44"/>
          <w:szCs w:val="44"/>
        </w:rPr>
      </w:pPr>
      <w:bookmarkStart w:id="0" w:name="_Hlk132090102"/>
    </w:p>
    <w:p w14:paraId="2259B6E4" w14:textId="438CB26F" w:rsidR="00F13FD9" w:rsidRPr="00A42A84" w:rsidRDefault="00F13FD9" w:rsidP="00F13FD9">
      <w:pPr>
        <w:jc w:val="both"/>
        <w:rPr>
          <w:rFonts w:asciiTheme="minorHAnsi" w:hAnsiTheme="minorHAnsi" w:cstheme="minorHAnsi"/>
          <w:b/>
          <w:bCs/>
          <w:color w:val="C00000"/>
          <w:sz w:val="44"/>
          <w:szCs w:val="44"/>
        </w:rPr>
      </w:pPr>
      <w:r w:rsidRPr="00A42A84">
        <w:rPr>
          <w:rFonts w:asciiTheme="minorHAnsi" w:hAnsiTheme="minorHAnsi" w:cstheme="minorHAnsi"/>
          <w:b/>
          <w:bCs/>
          <w:color w:val="C00000"/>
          <w:sz w:val="44"/>
          <w:szCs w:val="44"/>
        </w:rPr>
        <w:t>Informazioni storico-bibliografiche</w:t>
      </w:r>
    </w:p>
    <w:bookmarkEnd w:id="0"/>
    <w:p w14:paraId="562B751F" w14:textId="13BAEE72" w:rsidR="004768F6" w:rsidRPr="00A42A84" w:rsidRDefault="004768F6" w:rsidP="004768F6">
      <w:pPr>
        <w:jc w:val="both"/>
        <w:rPr>
          <w:rFonts w:asciiTheme="minorHAnsi" w:hAnsiTheme="minorHAnsi" w:cstheme="minorHAnsi"/>
          <w:sz w:val="22"/>
          <w:szCs w:val="22"/>
        </w:rPr>
      </w:pPr>
      <w:r w:rsidRPr="00A42A84">
        <w:rPr>
          <w:rFonts w:asciiTheme="minorHAnsi" w:hAnsiTheme="minorHAnsi" w:cstheme="minorHAnsi"/>
          <w:sz w:val="22"/>
          <w:szCs w:val="22"/>
        </w:rPr>
        <w:t>Q</w:t>
      </w:r>
      <w:r w:rsidRPr="00A42A84">
        <w:rPr>
          <w:rFonts w:asciiTheme="minorHAnsi" w:hAnsiTheme="minorHAnsi" w:cstheme="minorHAnsi"/>
          <w:sz w:val="22"/>
          <w:szCs w:val="22"/>
        </w:rPr>
        <w:t xml:space="preserve">uando prevalse l’accentramento e il decreto dell’8 settembre 1861, con l’intento di razionalizzare l’amministrazione dello stato, soppresse l’Ufficio dell’istruzione per le province toscane, anche «La Famiglia e la Scuola», come organo di quel ministero, dovette chiudere i battenti. Tuttavia, dato che essa godeva già di una certa diffusione e a Lambruschini e ai suoi collaboratori dispiaceva lasciare in tronco il rapporto che si era instaurato coi lettori, si decise di andare lo stesso avanti, ovviamente cambiando nome alla testata e con un’altra redazione: la rivista fu ribattezzata «La Gioventù» e le redini le assunse lo stesso editore Cellini, prima col sostegno direttivo del Lambruschini, dal secondo anno chiamando alla condirezione il giovane letterato lucchese Gaetano </w:t>
      </w:r>
      <w:proofErr w:type="spellStart"/>
      <w:r w:rsidRPr="00A42A84">
        <w:rPr>
          <w:rFonts w:asciiTheme="minorHAnsi" w:hAnsiTheme="minorHAnsi" w:cstheme="minorHAnsi"/>
          <w:sz w:val="22"/>
          <w:szCs w:val="22"/>
        </w:rPr>
        <w:t>Ghivizzani</w:t>
      </w:r>
      <w:proofErr w:type="spellEnd"/>
      <w:r w:rsidRPr="00A42A84">
        <w:rPr>
          <w:rFonts w:asciiTheme="minorHAnsi" w:hAnsiTheme="minorHAnsi" w:cstheme="minorHAnsi"/>
          <w:sz w:val="22"/>
          <w:szCs w:val="22"/>
        </w:rPr>
        <w:t xml:space="preserve">. A quest’ultima rivista di filiazione </w:t>
      </w:r>
      <w:proofErr w:type="spellStart"/>
      <w:r w:rsidRPr="00A42A84">
        <w:rPr>
          <w:rFonts w:asciiTheme="minorHAnsi" w:hAnsiTheme="minorHAnsi" w:cstheme="minorHAnsi"/>
          <w:sz w:val="22"/>
          <w:szCs w:val="22"/>
        </w:rPr>
        <w:t>lambruschiniana</w:t>
      </w:r>
      <w:proofErr w:type="spellEnd"/>
      <w:r w:rsidRPr="00A42A84">
        <w:rPr>
          <w:rFonts w:asciiTheme="minorHAnsi" w:hAnsiTheme="minorHAnsi" w:cstheme="minorHAnsi"/>
          <w:sz w:val="22"/>
          <w:szCs w:val="22"/>
        </w:rPr>
        <w:t xml:space="preserve">, guidata da un ottimo stampatore a cui era sinceramente affezionato da una vita, Tommaseo riprese a collaborare attivamente, destinandovi diversi scritti, e non solo di argomenti educativi, dato che ben presto Cellini aveva voluto accogliervi anche contributi letterari e di varia cultura. Anzi Tommaseo di viene subito un po’ una sorta di figura-simbolo per la rivista: già nello scritto che Cellini e </w:t>
      </w:r>
      <w:proofErr w:type="spellStart"/>
      <w:r w:rsidRPr="00A42A84">
        <w:rPr>
          <w:rFonts w:asciiTheme="minorHAnsi" w:hAnsiTheme="minorHAnsi" w:cstheme="minorHAnsi"/>
          <w:sz w:val="22"/>
          <w:szCs w:val="22"/>
        </w:rPr>
        <w:t>Ghivizzani</w:t>
      </w:r>
      <w:proofErr w:type="spellEnd"/>
      <w:r w:rsidRPr="00A42A84">
        <w:rPr>
          <w:rFonts w:asciiTheme="minorHAnsi" w:hAnsiTheme="minorHAnsi" w:cstheme="minorHAnsi"/>
          <w:sz w:val="22"/>
          <w:szCs w:val="22"/>
        </w:rPr>
        <w:t xml:space="preserve"> premettono alla seconda annata, dove si dà conto dell’apertura alla letteratura e alla critica e si annunciano i futuri collaboratori, il nome del Dalmata vien messo in particolare risalto: «Non</w:t>
      </w:r>
      <w:r w:rsidRPr="00A42A84">
        <w:rPr>
          <w:rFonts w:asciiTheme="minorHAnsi" w:hAnsiTheme="minorHAnsi" w:cstheme="minorHAnsi"/>
          <w:sz w:val="22"/>
          <w:szCs w:val="22"/>
        </w:rPr>
        <w:t xml:space="preserve"> </w:t>
      </w:r>
      <w:r w:rsidRPr="00A42A84">
        <w:rPr>
          <w:rFonts w:asciiTheme="minorHAnsi" w:hAnsiTheme="minorHAnsi" w:cstheme="minorHAnsi"/>
          <w:sz w:val="22"/>
          <w:szCs w:val="22"/>
        </w:rPr>
        <w:t>ci sono mancati per vero dire sin qui valenti cooperatori che ci furono larghi dei loro consigli e degli scritti loro. Più che altro speriamo averne per lo innanzi, dacché non pochi illustri scrittori, dei quali basti annunziare solo il nome di NICCOLÒ TOMMASEO, da noi pregati di volerci far copia di alcun frutto del loro ingegno, ce ne hanno fatto promessa».</w:t>
      </w:r>
      <w:r w:rsidRPr="00A42A84">
        <w:rPr>
          <w:rFonts w:asciiTheme="minorHAnsi" w:hAnsiTheme="minorHAnsi" w:cstheme="minorHAnsi"/>
          <w:sz w:val="22"/>
          <w:szCs w:val="22"/>
        </w:rPr>
        <w:t xml:space="preserve"> </w:t>
      </w:r>
      <w:hyperlink r:id="rId9" w:history="1">
        <w:r w:rsidRPr="00A42A84">
          <w:rPr>
            <w:rStyle w:val="Collegamentoipertestuale"/>
            <w:rFonts w:asciiTheme="minorHAnsi" w:hAnsiTheme="minorHAnsi" w:cstheme="minorHAnsi"/>
            <w:i/>
            <w:iCs/>
            <w:sz w:val="22"/>
            <w:szCs w:val="22"/>
          </w:rPr>
          <w:t>FLORE, Repository istituzionale dell'Università degli Studi di Firenze. Contributi di Tommaseo ai periodici fiorentini prima e dopo il '59 (1836-1874), p.192</w:t>
        </w:r>
      </w:hyperlink>
    </w:p>
    <w:sectPr w:rsidR="004768F6" w:rsidRPr="00A42A84"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31EBE"/>
    <w:rsid w:val="0031062F"/>
    <w:rsid w:val="003605E3"/>
    <w:rsid w:val="00375F4B"/>
    <w:rsid w:val="003811E4"/>
    <w:rsid w:val="00431EBE"/>
    <w:rsid w:val="004768F6"/>
    <w:rsid w:val="00653982"/>
    <w:rsid w:val="008F7C7E"/>
    <w:rsid w:val="009926D2"/>
    <w:rsid w:val="00A42A84"/>
    <w:rsid w:val="00C71CAA"/>
    <w:rsid w:val="00D544E6"/>
    <w:rsid w:val="00E84EF4"/>
    <w:rsid w:val="00F13F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7E43"/>
  <w15:chartTrackingRefBased/>
  <w15:docId w15:val="{BD9A185B-4792-4D25-96B4-DFDD8E4E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3FD9"/>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431EB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431EB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431EBE"/>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431EBE"/>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431EBE"/>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431EB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31EB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31EB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31EB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31EBE"/>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431EBE"/>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431EBE"/>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431EBE"/>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431EBE"/>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431EB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31EB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31EB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31EBE"/>
    <w:rPr>
      <w:rFonts w:eastAsiaTheme="majorEastAsia" w:cstheme="majorBidi"/>
      <w:color w:val="272727" w:themeColor="text1" w:themeTint="D8"/>
    </w:rPr>
  </w:style>
  <w:style w:type="paragraph" w:styleId="Titolo">
    <w:name w:val="Title"/>
    <w:basedOn w:val="Normale"/>
    <w:next w:val="Normale"/>
    <w:link w:val="TitoloCarattere"/>
    <w:uiPriority w:val="10"/>
    <w:qFormat/>
    <w:rsid w:val="00431EB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31EB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31EB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31EB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31EB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31EBE"/>
    <w:rPr>
      <w:i/>
      <w:iCs/>
      <w:color w:val="404040" w:themeColor="text1" w:themeTint="BF"/>
    </w:rPr>
  </w:style>
  <w:style w:type="paragraph" w:styleId="Paragrafoelenco">
    <w:name w:val="List Paragraph"/>
    <w:basedOn w:val="Normale"/>
    <w:uiPriority w:val="34"/>
    <w:qFormat/>
    <w:rsid w:val="00431EBE"/>
    <w:pPr>
      <w:ind w:left="720"/>
      <w:contextualSpacing/>
    </w:pPr>
  </w:style>
  <w:style w:type="character" w:styleId="Enfasiintensa">
    <w:name w:val="Intense Emphasis"/>
    <w:basedOn w:val="Carpredefinitoparagrafo"/>
    <w:uiPriority w:val="21"/>
    <w:qFormat/>
    <w:rsid w:val="00431EBE"/>
    <w:rPr>
      <w:i/>
      <w:iCs/>
      <w:color w:val="365F91" w:themeColor="accent1" w:themeShade="BF"/>
    </w:rPr>
  </w:style>
  <w:style w:type="paragraph" w:styleId="Citazioneintensa">
    <w:name w:val="Intense Quote"/>
    <w:basedOn w:val="Normale"/>
    <w:next w:val="Normale"/>
    <w:link w:val="CitazioneintensaCarattere"/>
    <w:uiPriority w:val="30"/>
    <w:qFormat/>
    <w:rsid w:val="00431EB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431EBE"/>
    <w:rPr>
      <w:i/>
      <w:iCs/>
      <w:color w:val="365F91" w:themeColor="accent1" w:themeShade="BF"/>
    </w:rPr>
  </w:style>
  <w:style w:type="character" w:styleId="Riferimentointenso">
    <w:name w:val="Intense Reference"/>
    <w:basedOn w:val="Carpredefinitoparagrafo"/>
    <w:uiPriority w:val="32"/>
    <w:qFormat/>
    <w:rsid w:val="00431EBE"/>
    <w:rPr>
      <w:b/>
      <w:bCs/>
      <w:smallCaps/>
      <w:color w:val="365F91" w:themeColor="accent1" w:themeShade="BF"/>
      <w:spacing w:val="5"/>
    </w:rPr>
  </w:style>
  <w:style w:type="character" w:styleId="Collegamentoipertestuale">
    <w:name w:val="Hyperlink"/>
    <w:uiPriority w:val="99"/>
    <w:rsid w:val="00F13FD9"/>
    <w:rPr>
      <w:color w:val="0000FF"/>
      <w:u w:val="single"/>
    </w:rPr>
  </w:style>
  <w:style w:type="character" w:styleId="Menzionenonrisolta">
    <w:name w:val="Unresolved Mention"/>
    <w:basedOn w:val="Carpredefinitoparagrafo"/>
    <w:uiPriority w:val="99"/>
    <w:semiHidden/>
    <w:unhideWhenUsed/>
    <w:rsid w:val="00476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it/books/about/La_giovent%C3%B9_ragguagli_d_educazione_e_d.html?id=B1Gogr3ZbxUC&amp;redir_esc=y" TargetMode="External"/><Relationship Id="rId3" Type="http://schemas.openxmlformats.org/officeDocument/2006/relationships/webSettings" Target="webSettings.xml"/><Relationship Id="rId7" Type="http://schemas.openxmlformats.org/officeDocument/2006/relationships/hyperlink" Target="https://books.google.it/books/about/La_giovent%C3%B9_ragguagli_d_educazione_e_d.html?id=iKQ_CTyi_e0C&amp;redir_es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sa=t&amp;source=web&amp;rct=j&amp;opi=89978449&amp;url=https://upload.wikimedia.org/wikipedia/commons/4/4e/La_giovent%25C3%25B9_-_ragguagli_d%2527educazione_e_d%2527istruzione_%2528IA_LaGioventuRagguagli5%2529.pdf&amp;ved=2ahUKEwiDs8Ln7q-QAxW6hP0HHQRrMkYQFnoECCYQAQ&amp;usg=AOvVaw1Iem8-U9ZfY-XDUUueFjsK" TargetMode="External"/><Relationship Id="rId11" Type="http://schemas.openxmlformats.org/officeDocument/2006/relationships/theme" Target="theme/theme1.xml"/><Relationship Id="rId5" Type="http://schemas.openxmlformats.org/officeDocument/2006/relationships/hyperlink" Target="http://digitale.bnc.roma.sbn.it/tecadigitale/giornali/TO0018532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google.com/url?sa=t&amp;source=web&amp;rct=j&amp;opi=89978449&amp;url=https://flore.unifi.it/retrieve/e398c378-b15e-179a-e053-3705fe0a4cff/TommaseoRovereto.pdf&amp;ved=2ahUKEwi9lb-Y56-QAxUSg_0HHX8uBHcQFnoECDAQAQ&amp;usg=AOvVaw1chdyTfqEe3ifoX_PbY9ub"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543</Words>
  <Characters>3100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2025-10-19T08:04:00Z</dcterms:created>
  <dcterms:modified xsi:type="dcterms:W3CDTF">2025-10-19T08:46:00Z</dcterms:modified>
</cp:coreProperties>
</file>