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CC8CE" w14:textId="2DDB1D64" w:rsidR="006C709E" w:rsidRPr="00860DF3" w:rsidRDefault="006C709E" w:rsidP="00860DF3">
      <w:pPr>
        <w:jc w:val="both"/>
        <w:rPr>
          <w:rFonts w:asciiTheme="minorHAnsi" w:hAnsiTheme="minorHAnsi" w:cstheme="minorHAnsi"/>
          <w:bCs/>
          <w:i/>
          <w:iCs/>
          <w:sz w:val="16"/>
          <w:szCs w:val="16"/>
        </w:rPr>
      </w:pPr>
      <w:r w:rsidRPr="00860DF3">
        <w:rPr>
          <w:rFonts w:asciiTheme="minorHAnsi" w:hAnsiTheme="minorHAnsi" w:cstheme="minorHAnsi"/>
          <w:b/>
          <w:color w:val="C00000"/>
          <w:sz w:val="44"/>
          <w:szCs w:val="44"/>
        </w:rPr>
        <w:t>CC2</w:t>
      </w:r>
      <w:r w:rsidRPr="00860DF3">
        <w:rPr>
          <w:rFonts w:asciiTheme="minorHAnsi" w:hAnsiTheme="minorHAnsi" w:cstheme="minorHAnsi"/>
          <w:b/>
          <w:color w:val="C00000"/>
          <w:sz w:val="44"/>
          <w:szCs w:val="44"/>
        </w:rPr>
        <w:t>96</w:t>
      </w:r>
      <w:r w:rsidRPr="00860DF3">
        <w:rPr>
          <w:rFonts w:asciiTheme="minorHAnsi" w:hAnsiTheme="minorHAnsi" w:cstheme="minorHAnsi"/>
          <w:b/>
          <w:color w:val="C00000"/>
          <w:sz w:val="44"/>
          <w:szCs w:val="44"/>
        </w:rPr>
        <w:tab/>
      </w:r>
      <w:r w:rsidRPr="00860DF3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860DF3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860DF3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860DF3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860DF3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860DF3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860DF3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860DF3">
        <w:rPr>
          <w:rFonts w:asciiTheme="minorHAnsi" w:hAnsiTheme="minorHAnsi" w:cstheme="minorHAnsi"/>
          <w:bCs/>
          <w:i/>
          <w:iCs/>
          <w:sz w:val="16"/>
          <w:szCs w:val="16"/>
        </w:rPr>
        <w:tab/>
        <w:t>scheda creata il 5 agosto 2026</w:t>
      </w:r>
    </w:p>
    <w:p w14:paraId="66C0768D" w14:textId="77777777" w:rsidR="006C709E" w:rsidRPr="00860DF3" w:rsidRDefault="006C709E" w:rsidP="00860DF3">
      <w:pPr>
        <w:jc w:val="both"/>
        <w:rPr>
          <w:rFonts w:asciiTheme="minorHAnsi" w:hAnsiTheme="minorHAnsi" w:cstheme="minorHAnsi"/>
          <w:b/>
        </w:rPr>
      </w:pPr>
      <w:r w:rsidRPr="00860DF3">
        <w:rPr>
          <w:rFonts w:asciiTheme="minorHAnsi" w:hAnsiTheme="minorHAnsi" w:cstheme="minorHAnsi"/>
          <w:b/>
          <w:color w:val="C00000"/>
          <w:sz w:val="44"/>
          <w:szCs w:val="44"/>
        </w:rPr>
        <w:t>Descrizione storico-bibliografica</w:t>
      </w:r>
      <w:r w:rsidRPr="00860DF3">
        <w:rPr>
          <w:rFonts w:asciiTheme="minorHAnsi" w:hAnsiTheme="minorHAnsi" w:cstheme="minorHAnsi"/>
          <w:b/>
        </w:rPr>
        <w:t xml:space="preserve"> </w:t>
      </w:r>
    </w:p>
    <w:p w14:paraId="5F12F3A7" w14:textId="64504A35" w:rsidR="006C709E" w:rsidRPr="00441058" w:rsidRDefault="00441058" w:rsidP="00860DF3">
      <w:pPr>
        <w:jc w:val="both"/>
        <w:rPr>
          <w:rFonts w:asciiTheme="minorHAnsi" w:hAnsiTheme="minorHAnsi" w:cstheme="minorHAnsi"/>
          <w:sz w:val="30"/>
          <w:szCs w:val="30"/>
        </w:rPr>
      </w:pPr>
      <w:r w:rsidRPr="00441058">
        <w:rPr>
          <w:noProof/>
          <w:sz w:val="30"/>
          <w:szCs w:val="30"/>
        </w:rPr>
        <w:drawing>
          <wp:anchor distT="0" distB="0" distL="114300" distR="114300" simplePos="0" relativeHeight="251657216" behindDoc="0" locked="0" layoutInCell="1" allowOverlap="1" wp14:anchorId="75883FBC" wp14:editId="5C5FDA8D">
            <wp:simplePos x="0" y="0"/>
            <wp:positionH relativeFrom="column">
              <wp:posOffset>1270</wp:posOffset>
            </wp:positionH>
            <wp:positionV relativeFrom="paragraph">
              <wp:posOffset>2540</wp:posOffset>
            </wp:positionV>
            <wp:extent cx="2264400" cy="3286800"/>
            <wp:effectExtent l="0" t="0" r="3175" b="0"/>
            <wp:wrapSquare wrapText="bothSides"/>
            <wp:docPr id="1793979008" name="Immagine 1" descr="Immagine dell'ic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magine dell'icon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00" cy="32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709E" w:rsidRPr="00441058">
        <w:rPr>
          <w:rFonts w:asciiTheme="minorHAnsi" w:hAnsiTheme="minorHAnsi" w:cstheme="minorHAnsi"/>
          <w:sz w:val="30"/>
          <w:szCs w:val="30"/>
        </w:rPr>
        <w:t>La *</w:t>
      </w:r>
      <w:r w:rsidR="006C709E" w:rsidRPr="00441058">
        <w:rPr>
          <w:rFonts w:asciiTheme="minorHAnsi" w:hAnsiTheme="minorHAnsi" w:cstheme="minorHAnsi"/>
          <w:b/>
          <w:sz w:val="30"/>
          <w:szCs w:val="30"/>
        </w:rPr>
        <w:t xml:space="preserve">cultura </w:t>
      </w:r>
      <w:proofErr w:type="gramStart"/>
      <w:r w:rsidR="006C709E" w:rsidRPr="00441058">
        <w:rPr>
          <w:rFonts w:asciiTheme="minorHAnsi" w:hAnsiTheme="minorHAnsi" w:cstheme="minorHAnsi"/>
          <w:b/>
          <w:sz w:val="30"/>
          <w:szCs w:val="30"/>
        </w:rPr>
        <w:t xml:space="preserve">contemporanea </w:t>
      </w:r>
      <w:r w:rsidR="006C709E" w:rsidRPr="00441058">
        <w:rPr>
          <w:rFonts w:asciiTheme="minorHAnsi" w:hAnsiTheme="minorHAnsi" w:cstheme="minorHAnsi"/>
          <w:sz w:val="30"/>
          <w:szCs w:val="30"/>
        </w:rPr>
        <w:t>:</w:t>
      </w:r>
      <w:proofErr w:type="gramEnd"/>
      <w:r w:rsidR="006C709E" w:rsidRPr="00441058">
        <w:rPr>
          <w:rFonts w:asciiTheme="minorHAnsi" w:hAnsiTheme="minorHAnsi" w:cstheme="minorHAnsi"/>
          <w:sz w:val="30"/>
          <w:szCs w:val="30"/>
        </w:rPr>
        <w:t xml:space="preserve"> rassegna mensile. - Anno 1, n. 1 (</w:t>
      </w:r>
      <w:proofErr w:type="gramStart"/>
      <w:r w:rsidR="006C709E" w:rsidRPr="00441058">
        <w:rPr>
          <w:rFonts w:asciiTheme="minorHAnsi" w:hAnsiTheme="minorHAnsi" w:cstheme="minorHAnsi"/>
          <w:sz w:val="30"/>
          <w:szCs w:val="30"/>
        </w:rPr>
        <w:t>1 gennaio</w:t>
      </w:r>
      <w:proofErr w:type="gramEnd"/>
      <w:r w:rsidR="006C709E" w:rsidRPr="00441058">
        <w:rPr>
          <w:rFonts w:asciiTheme="minorHAnsi" w:hAnsiTheme="minorHAnsi" w:cstheme="minorHAnsi"/>
          <w:sz w:val="30"/>
          <w:szCs w:val="30"/>
        </w:rPr>
        <w:t xml:space="preserve"> </w:t>
      </w:r>
      <w:proofErr w:type="gramStart"/>
      <w:r w:rsidR="006C709E" w:rsidRPr="00441058">
        <w:rPr>
          <w:rFonts w:asciiTheme="minorHAnsi" w:hAnsiTheme="minorHAnsi" w:cstheme="minorHAnsi"/>
          <w:sz w:val="30"/>
          <w:szCs w:val="30"/>
        </w:rPr>
        <w:t>1909)-</w:t>
      </w:r>
      <w:proofErr w:type="gramEnd"/>
      <w:r w:rsidR="006C709E" w:rsidRPr="00441058">
        <w:rPr>
          <w:rFonts w:asciiTheme="minorHAnsi" w:hAnsiTheme="minorHAnsi" w:cstheme="minorHAnsi"/>
          <w:sz w:val="30"/>
          <w:szCs w:val="30"/>
        </w:rPr>
        <w:t xml:space="preserve">anno 5, n. 66 (1913). - </w:t>
      </w:r>
      <w:proofErr w:type="gramStart"/>
      <w:r w:rsidR="006C709E" w:rsidRPr="00441058">
        <w:rPr>
          <w:rFonts w:asciiTheme="minorHAnsi" w:hAnsiTheme="minorHAnsi" w:cstheme="minorHAnsi"/>
          <w:sz w:val="30"/>
          <w:szCs w:val="30"/>
        </w:rPr>
        <w:t>Roma :</w:t>
      </w:r>
      <w:proofErr w:type="gramEnd"/>
      <w:r w:rsidR="006C709E" w:rsidRPr="00441058">
        <w:rPr>
          <w:rFonts w:asciiTheme="minorHAnsi" w:hAnsiTheme="minorHAnsi" w:cstheme="minorHAnsi"/>
          <w:sz w:val="30"/>
          <w:szCs w:val="30"/>
        </w:rPr>
        <w:t xml:space="preserve"> Libreria editrice romana, 1909-1913. – 5 </w:t>
      </w:r>
      <w:proofErr w:type="gramStart"/>
      <w:r w:rsidR="006C709E" w:rsidRPr="00441058">
        <w:rPr>
          <w:rFonts w:asciiTheme="minorHAnsi" w:hAnsiTheme="minorHAnsi" w:cstheme="minorHAnsi"/>
          <w:sz w:val="30"/>
          <w:szCs w:val="30"/>
        </w:rPr>
        <w:t>volumi ;</w:t>
      </w:r>
      <w:proofErr w:type="gramEnd"/>
      <w:r w:rsidR="006C709E" w:rsidRPr="00441058">
        <w:rPr>
          <w:rFonts w:asciiTheme="minorHAnsi" w:hAnsiTheme="minorHAnsi" w:cstheme="minorHAnsi"/>
          <w:sz w:val="30"/>
          <w:szCs w:val="30"/>
        </w:rPr>
        <w:t xml:space="preserve"> 31 cm. ((Mensile. - Il complemento del titolo e la periodicità variano. </w:t>
      </w:r>
      <w:r w:rsidR="006C709E" w:rsidRPr="00441058">
        <w:rPr>
          <w:rFonts w:asciiTheme="minorHAnsi" w:hAnsiTheme="minorHAnsi" w:cstheme="minorHAnsi"/>
          <w:sz w:val="30"/>
          <w:szCs w:val="30"/>
        </w:rPr>
        <w:t>–</w:t>
      </w:r>
      <w:r w:rsidR="006C709E" w:rsidRPr="00441058">
        <w:rPr>
          <w:rFonts w:asciiTheme="minorHAnsi" w:hAnsiTheme="minorHAnsi" w:cstheme="minorHAnsi"/>
          <w:sz w:val="30"/>
          <w:szCs w:val="30"/>
        </w:rPr>
        <w:t xml:space="preserve"> </w:t>
      </w:r>
      <w:r w:rsidR="006C709E" w:rsidRPr="00441058">
        <w:rPr>
          <w:rFonts w:asciiTheme="minorHAnsi" w:hAnsiTheme="minorHAnsi" w:cstheme="minorHAnsi"/>
          <w:sz w:val="30"/>
          <w:szCs w:val="30"/>
        </w:rPr>
        <w:t xml:space="preserve">Fondata e diretta da: </w:t>
      </w:r>
      <w:r w:rsidR="006C709E" w:rsidRPr="00441058">
        <w:rPr>
          <w:rFonts w:asciiTheme="minorHAnsi" w:hAnsiTheme="minorHAnsi" w:cstheme="minorHAnsi"/>
          <w:sz w:val="30"/>
          <w:szCs w:val="30"/>
        </w:rPr>
        <w:t>Guglielmo Quadrotta</w:t>
      </w:r>
      <w:r w:rsidR="006C709E" w:rsidRPr="00441058">
        <w:rPr>
          <w:rFonts w:asciiTheme="minorHAnsi" w:hAnsiTheme="minorHAnsi" w:cstheme="minorHAnsi"/>
          <w:sz w:val="30"/>
          <w:szCs w:val="30"/>
        </w:rPr>
        <w:t xml:space="preserve">. - </w:t>
      </w:r>
      <w:r w:rsidR="006C709E" w:rsidRPr="00441058">
        <w:rPr>
          <w:rFonts w:asciiTheme="minorHAnsi" w:hAnsiTheme="minorHAnsi" w:cstheme="minorHAnsi"/>
          <w:sz w:val="30"/>
          <w:szCs w:val="30"/>
        </w:rPr>
        <w:t>BNI 1909-869. - RML0021246</w:t>
      </w:r>
    </w:p>
    <w:p w14:paraId="3CA2B756" w14:textId="449E38A6" w:rsidR="006C709E" w:rsidRPr="00441058" w:rsidRDefault="006C709E" w:rsidP="00860DF3">
      <w:pPr>
        <w:tabs>
          <w:tab w:val="right" w:pos="6660"/>
        </w:tabs>
        <w:jc w:val="both"/>
        <w:rPr>
          <w:rFonts w:asciiTheme="minorHAnsi" w:hAnsiTheme="minorHAnsi" w:cstheme="minorHAnsi"/>
          <w:bCs/>
          <w:sz w:val="30"/>
          <w:szCs w:val="30"/>
        </w:rPr>
      </w:pPr>
      <w:r w:rsidRPr="00441058">
        <w:rPr>
          <w:rFonts w:asciiTheme="minorHAnsi" w:hAnsiTheme="minorHAnsi" w:cstheme="minorHAnsi"/>
          <w:bCs/>
          <w:sz w:val="30"/>
          <w:szCs w:val="30"/>
        </w:rPr>
        <w:t>Direttor</w:t>
      </w:r>
      <w:r w:rsidRPr="00441058">
        <w:rPr>
          <w:rFonts w:asciiTheme="minorHAnsi" w:hAnsiTheme="minorHAnsi" w:cstheme="minorHAnsi"/>
          <w:bCs/>
          <w:sz w:val="30"/>
          <w:szCs w:val="30"/>
        </w:rPr>
        <w:t>e</w:t>
      </w:r>
      <w:r w:rsidRPr="00441058">
        <w:rPr>
          <w:rFonts w:asciiTheme="minorHAnsi" w:hAnsiTheme="minorHAnsi" w:cstheme="minorHAnsi"/>
          <w:bCs/>
          <w:sz w:val="30"/>
          <w:szCs w:val="30"/>
        </w:rPr>
        <w:t xml:space="preserve"> editorial</w:t>
      </w:r>
      <w:r w:rsidRPr="00441058">
        <w:rPr>
          <w:rFonts w:asciiTheme="minorHAnsi" w:hAnsiTheme="minorHAnsi" w:cstheme="minorHAnsi"/>
          <w:bCs/>
          <w:sz w:val="30"/>
          <w:szCs w:val="30"/>
        </w:rPr>
        <w:t>e</w:t>
      </w:r>
      <w:r w:rsidRPr="00441058">
        <w:rPr>
          <w:rFonts w:asciiTheme="minorHAnsi" w:hAnsiTheme="minorHAnsi" w:cstheme="minorHAnsi"/>
          <w:bCs/>
          <w:sz w:val="30"/>
          <w:szCs w:val="30"/>
        </w:rPr>
        <w:t>: Quadrotta, Guglielmo &lt;1888-1975&gt;</w:t>
      </w:r>
    </w:p>
    <w:p w14:paraId="308BAB08" w14:textId="050C2AEB" w:rsidR="006C709E" w:rsidRPr="00441058" w:rsidRDefault="006C709E" w:rsidP="00860DF3">
      <w:pPr>
        <w:tabs>
          <w:tab w:val="right" w:pos="6660"/>
        </w:tabs>
        <w:jc w:val="both"/>
        <w:rPr>
          <w:rFonts w:asciiTheme="minorHAnsi" w:hAnsiTheme="minorHAnsi" w:cstheme="minorHAnsi"/>
          <w:bCs/>
          <w:sz w:val="30"/>
          <w:szCs w:val="30"/>
        </w:rPr>
      </w:pPr>
      <w:r w:rsidRPr="00441058">
        <w:rPr>
          <w:rFonts w:asciiTheme="minorHAnsi" w:hAnsiTheme="minorHAnsi" w:cstheme="minorHAnsi"/>
          <w:bCs/>
          <w:sz w:val="30"/>
          <w:szCs w:val="30"/>
        </w:rPr>
        <w:t xml:space="preserve">Soggetto: </w:t>
      </w:r>
      <w:r w:rsidRPr="00441058">
        <w:rPr>
          <w:rFonts w:asciiTheme="minorHAnsi" w:hAnsiTheme="minorHAnsi" w:cstheme="minorHAnsi"/>
          <w:bCs/>
          <w:sz w:val="30"/>
          <w:szCs w:val="30"/>
        </w:rPr>
        <w:t xml:space="preserve">Cultura – Italia – 1909-1913; </w:t>
      </w:r>
      <w:r w:rsidRPr="00441058">
        <w:rPr>
          <w:rFonts w:asciiTheme="minorHAnsi" w:hAnsiTheme="minorHAnsi" w:cstheme="minorHAnsi"/>
          <w:bCs/>
          <w:sz w:val="30"/>
          <w:szCs w:val="30"/>
        </w:rPr>
        <w:t>Modernismo – Italia – 190</w:t>
      </w:r>
      <w:r w:rsidRPr="00441058">
        <w:rPr>
          <w:rFonts w:asciiTheme="minorHAnsi" w:hAnsiTheme="minorHAnsi" w:cstheme="minorHAnsi"/>
          <w:bCs/>
          <w:sz w:val="30"/>
          <w:szCs w:val="30"/>
        </w:rPr>
        <w:t>9-1913</w:t>
      </w:r>
    </w:p>
    <w:p w14:paraId="09E2DB73" w14:textId="77777777" w:rsidR="006C709E" w:rsidRPr="00441058" w:rsidRDefault="006C709E" w:rsidP="00860DF3">
      <w:pPr>
        <w:jc w:val="both"/>
        <w:rPr>
          <w:rFonts w:asciiTheme="minorHAnsi" w:hAnsiTheme="minorHAnsi" w:cstheme="minorHAnsi"/>
          <w:sz w:val="30"/>
          <w:szCs w:val="30"/>
        </w:rPr>
      </w:pPr>
      <w:r w:rsidRPr="00441058">
        <w:rPr>
          <w:rFonts w:asciiTheme="minorHAnsi" w:hAnsiTheme="minorHAnsi" w:cstheme="minorHAnsi"/>
          <w:b/>
          <w:color w:val="C00000"/>
          <w:sz w:val="30"/>
          <w:szCs w:val="30"/>
        </w:rPr>
        <w:t>Copia digitale</w:t>
      </w:r>
      <w:r w:rsidRPr="00441058">
        <w:rPr>
          <w:rFonts w:asciiTheme="minorHAnsi" w:hAnsiTheme="minorHAnsi" w:cstheme="minorHAnsi"/>
          <w:bCs/>
          <w:color w:val="C00000"/>
          <w:sz w:val="30"/>
          <w:szCs w:val="30"/>
        </w:rPr>
        <w:t xml:space="preserve"> </w:t>
      </w:r>
      <w:r w:rsidRPr="00441058">
        <w:rPr>
          <w:rFonts w:asciiTheme="minorHAnsi" w:hAnsiTheme="minorHAnsi" w:cstheme="minorHAnsi"/>
          <w:bCs/>
          <w:sz w:val="30"/>
          <w:szCs w:val="30"/>
        </w:rPr>
        <w:t xml:space="preserve">a: </w:t>
      </w:r>
      <w:hyperlink r:id="rId5" w:history="1">
        <w:r w:rsidRPr="00441058">
          <w:rPr>
            <w:rStyle w:val="Collegamentoipertestuale"/>
            <w:rFonts w:asciiTheme="minorHAnsi" w:hAnsiTheme="minorHAnsi" w:cstheme="minorHAnsi"/>
            <w:bCs/>
            <w:sz w:val="30"/>
            <w:szCs w:val="30"/>
          </w:rPr>
          <w:t>http://digitale.bnc.roma.sbn.it/tecadigitale/emeroteca/classic/RML0021246</w:t>
        </w:r>
      </w:hyperlink>
    </w:p>
    <w:p w14:paraId="64E427DE" w14:textId="77777777" w:rsidR="006C709E" w:rsidRPr="00860DF3" w:rsidRDefault="006C709E" w:rsidP="00860DF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5A9A92" w14:textId="77777777" w:rsidR="006C709E" w:rsidRPr="00860DF3" w:rsidRDefault="006C709E" w:rsidP="00860DF3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860DF3">
        <w:rPr>
          <w:rFonts w:asciiTheme="minorHAnsi" w:hAnsiTheme="minorHAnsi" w:cstheme="minorHAnsi"/>
          <w:b/>
          <w:bCs/>
          <w:color w:val="C00000"/>
          <w:sz w:val="44"/>
          <w:szCs w:val="44"/>
        </w:rPr>
        <w:t>Informazioni storico-bibliografiche</w:t>
      </w:r>
    </w:p>
    <w:p w14:paraId="791EC7CE" w14:textId="77777777" w:rsidR="006C709E" w:rsidRPr="00860DF3" w:rsidRDefault="006C709E" w:rsidP="00860DF3">
      <w:pPr>
        <w:jc w:val="both"/>
        <w:rPr>
          <w:rFonts w:asciiTheme="minorHAnsi" w:hAnsiTheme="minorHAnsi" w:cstheme="minorHAnsi"/>
          <w:sz w:val="22"/>
          <w:szCs w:val="22"/>
        </w:rPr>
      </w:pPr>
      <w:r w:rsidRPr="00860DF3">
        <w:rPr>
          <w:rFonts w:asciiTheme="minorHAnsi" w:hAnsiTheme="minorHAnsi" w:cstheme="minorHAnsi"/>
          <w:sz w:val="22"/>
          <w:szCs w:val="22"/>
        </w:rPr>
        <w:t xml:space="preserve">In una direzione diversa, altre riviste ed esperienze editoriali maturarono all’inizio del nuovo secolo nell’ambito filosofico e religioso, in particolare all’interno delle posizioni e correnti di pensiero di rinnovamento interno alla Chiesa cattolica, che si rifacevano al movimento modernista: «Studi religiosi» a Firenze, «Rinnovamento» a Milano, «Battaglie d’oggi» a Napoli, «Rivista storico-critica delle scienze teologiche» sorta a Roma sotto la direzione di Giuseppe Bonaccorsi e poi di </w:t>
      </w:r>
      <w:hyperlink r:id="rId6" w:history="1">
        <w:r w:rsidRPr="00860DF3">
          <w:rPr>
            <w:rStyle w:val="Collegamentoipertestuale"/>
            <w:rFonts w:asciiTheme="minorHAnsi" w:hAnsiTheme="minorHAnsi" w:cstheme="minorHAnsi"/>
            <w:sz w:val="22"/>
            <w:szCs w:val="22"/>
          </w:rPr>
          <w:t>Ernesto Buonaiuti</w:t>
        </w:r>
      </w:hyperlink>
      <w:r w:rsidRPr="00860DF3">
        <w:rPr>
          <w:rFonts w:asciiTheme="minorHAnsi" w:hAnsiTheme="minorHAnsi" w:cstheme="minorHAnsi"/>
          <w:sz w:val="22"/>
          <w:szCs w:val="22"/>
        </w:rPr>
        <w:t xml:space="preserve">, «Nova et </w:t>
      </w:r>
      <w:proofErr w:type="spellStart"/>
      <w:r w:rsidRPr="00860DF3">
        <w:rPr>
          <w:rFonts w:asciiTheme="minorHAnsi" w:hAnsiTheme="minorHAnsi" w:cstheme="minorHAnsi"/>
          <w:sz w:val="22"/>
          <w:szCs w:val="22"/>
        </w:rPr>
        <w:t>vetera</w:t>
      </w:r>
      <w:proofErr w:type="spellEnd"/>
      <w:r w:rsidRPr="00860DF3">
        <w:rPr>
          <w:rFonts w:asciiTheme="minorHAnsi" w:hAnsiTheme="minorHAnsi" w:cstheme="minorHAnsi"/>
          <w:sz w:val="22"/>
          <w:szCs w:val="22"/>
        </w:rPr>
        <w:t xml:space="preserve">» di </w:t>
      </w:r>
      <w:hyperlink r:id="rId7" w:history="1">
        <w:r w:rsidRPr="00860DF3">
          <w:rPr>
            <w:rStyle w:val="Collegamentoipertestuale"/>
            <w:rFonts w:asciiTheme="minorHAnsi" w:hAnsiTheme="minorHAnsi" w:cstheme="minorHAnsi"/>
            <w:sz w:val="22"/>
            <w:szCs w:val="22"/>
          </w:rPr>
          <w:t>Buonaiuti</w:t>
        </w:r>
      </w:hyperlink>
      <w:r w:rsidRPr="00860DF3">
        <w:rPr>
          <w:rFonts w:asciiTheme="minorHAnsi" w:hAnsiTheme="minorHAnsi" w:cstheme="minorHAnsi"/>
          <w:sz w:val="22"/>
          <w:szCs w:val="22"/>
        </w:rPr>
        <w:t>, sempre a Roma</w:t>
      </w:r>
      <w:r w:rsidRPr="00860DF3">
        <w:rPr>
          <w:rFonts w:asciiTheme="minorHAnsi" w:hAnsiTheme="minorHAnsi" w:cstheme="minorHAnsi"/>
          <w:sz w:val="22"/>
          <w:szCs w:val="22"/>
          <w:vertAlign w:val="superscript"/>
        </w:rPr>
        <w:t>45</w:t>
      </w:r>
      <w:r w:rsidRPr="00860DF3">
        <w:rPr>
          <w:rFonts w:asciiTheme="minorHAnsi" w:hAnsiTheme="minorHAnsi" w:cstheme="minorHAnsi"/>
          <w:sz w:val="22"/>
          <w:szCs w:val="22"/>
        </w:rPr>
        <w:t xml:space="preserve">. Nella capitale Guglielmo Quadrotta, con l’appoggio di </w:t>
      </w:r>
      <w:hyperlink r:id="rId8" w:history="1">
        <w:r w:rsidRPr="00860DF3">
          <w:rPr>
            <w:rStyle w:val="Collegamentoipertestuale"/>
            <w:rFonts w:asciiTheme="minorHAnsi" w:hAnsiTheme="minorHAnsi" w:cstheme="minorHAnsi"/>
            <w:sz w:val="22"/>
            <w:szCs w:val="22"/>
          </w:rPr>
          <w:t>Buonaiuti</w:t>
        </w:r>
      </w:hyperlink>
      <w:r w:rsidRPr="00860DF3">
        <w:rPr>
          <w:rFonts w:asciiTheme="minorHAnsi" w:hAnsiTheme="minorHAnsi" w:cstheme="minorHAnsi"/>
          <w:sz w:val="22"/>
          <w:szCs w:val="22"/>
        </w:rPr>
        <w:t>, fondò e diresse la rivista «Cultura contemporanea», alla quale affiancò la Libreria editrice romana per la pubblicazione di opere e traduzioni di autori modernisti, nonché, nella collana «Uomini e tempi», di studiosi sensibili al pensiero moderno</w:t>
      </w:r>
      <w:r w:rsidRPr="00860DF3">
        <w:rPr>
          <w:rFonts w:asciiTheme="minorHAnsi" w:hAnsiTheme="minorHAnsi" w:cstheme="minorHAnsi"/>
          <w:sz w:val="22"/>
          <w:szCs w:val="22"/>
          <w:vertAlign w:val="superscript"/>
        </w:rPr>
        <w:t>46</w:t>
      </w:r>
      <w:r w:rsidRPr="00860DF3">
        <w:rPr>
          <w:rFonts w:asciiTheme="minorHAnsi" w:hAnsiTheme="minorHAnsi" w:cstheme="minorHAnsi"/>
          <w:sz w:val="22"/>
          <w:szCs w:val="22"/>
        </w:rPr>
        <w:t xml:space="preserve">. Anche se il modernismo religioso e il movimento della democrazia cristiana furono, com’è noto, esperienze molto diverse tra loro, l’una a carattere religioso, l’altra politico, erano entrambe rivolte a un rinnovamento della Chiesa e del ruolo dei cattolici nella società contemporanea, tanto che alcune iniziative culturali si intrecciarono e si sostennero: ad esempio la Società nazionale di cultura pubblicò testi del modernismo, tra i quali la traduzione di un volume importante per il pensiero modernista come </w:t>
      </w:r>
      <w:r w:rsidRPr="00860DF3">
        <w:rPr>
          <w:rFonts w:asciiTheme="minorHAnsi" w:hAnsiTheme="minorHAnsi" w:cstheme="minorHAnsi"/>
          <w:i/>
          <w:iCs/>
          <w:sz w:val="22"/>
          <w:szCs w:val="22"/>
        </w:rPr>
        <w:t>Sviluppo del domma cristiano</w:t>
      </w:r>
      <w:r w:rsidRPr="00860DF3">
        <w:rPr>
          <w:rFonts w:asciiTheme="minorHAnsi" w:hAnsiTheme="minorHAnsi" w:cstheme="minorHAnsi"/>
          <w:sz w:val="22"/>
          <w:szCs w:val="22"/>
        </w:rPr>
        <w:t xml:space="preserve"> di </w:t>
      </w:r>
      <w:hyperlink r:id="rId9" w:history="1">
        <w:r w:rsidRPr="00860DF3">
          <w:rPr>
            <w:rStyle w:val="Collegamentoipertestuale"/>
            <w:rFonts w:asciiTheme="minorHAnsi" w:hAnsiTheme="minorHAnsi" w:cstheme="minorHAnsi"/>
            <w:sz w:val="22"/>
            <w:szCs w:val="22"/>
          </w:rPr>
          <w:t>John Henry Newman</w:t>
        </w:r>
      </w:hyperlink>
      <w:r w:rsidRPr="00860DF3">
        <w:rPr>
          <w:rFonts w:asciiTheme="minorHAnsi" w:hAnsiTheme="minorHAnsi" w:cstheme="minorHAnsi"/>
          <w:sz w:val="22"/>
          <w:szCs w:val="22"/>
        </w:rPr>
        <w:t xml:space="preserve"> (1908), con prefazione di </w:t>
      </w:r>
      <w:hyperlink r:id="rId10" w:history="1">
        <w:r w:rsidRPr="00860DF3">
          <w:rPr>
            <w:rStyle w:val="Collegamentoipertestuale"/>
            <w:rFonts w:asciiTheme="minorHAnsi" w:hAnsiTheme="minorHAnsi" w:cstheme="minorHAnsi"/>
            <w:sz w:val="22"/>
            <w:szCs w:val="22"/>
          </w:rPr>
          <w:t>Romolo Murri</w:t>
        </w:r>
      </w:hyperlink>
      <w:r w:rsidRPr="00860DF3">
        <w:rPr>
          <w:rFonts w:asciiTheme="minorHAnsi" w:hAnsiTheme="minorHAnsi" w:cstheme="minorHAnsi"/>
          <w:sz w:val="22"/>
          <w:szCs w:val="22"/>
          <w:vertAlign w:val="superscript"/>
        </w:rPr>
        <w:t>47</w:t>
      </w:r>
      <w:r w:rsidRPr="00860DF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2FBF109" w14:textId="0A2B8A83" w:rsidR="006C709E" w:rsidRPr="00860DF3" w:rsidRDefault="006C709E" w:rsidP="00860DF3">
      <w:pPr>
        <w:jc w:val="both"/>
        <w:rPr>
          <w:rFonts w:asciiTheme="minorHAnsi" w:hAnsiTheme="minorHAnsi" w:cstheme="minorHAnsi"/>
          <w:sz w:val="22"/>
          <w:szCs w:val="22"/>
        </w:rPr>
      </w:pPr>
      <w:r w:rsidRPr="00860DF3">
        <w:rPr>
          <w:rFonts w:asciiTheme="minorHAnsi" w:hAnsiTheme="minorHAnsi" w:cstheme="minorHAnsi"/>
          <w:sz w:val="22"/>
          <w:szCs w:val="22"/>
        </w:rPr>
        <w:t xml:space="preserve">La spinta di rinnovamento proveniente dal modernismo fu condannata da </w:t>
      </w:r>
      <w:hyperlink r:id="rId11" w:history="1">
        <w:r w:rsidRPr="00860DF3">
          <w:rPr>
            <w:rStyle w:val="Collegamentoipertestuale"/>
            <w:rFonts w:asciiTheme="minorHAnsi" w:hAnsiTheme="minorHAnsi" w:cstheme="minorHAnsi"/>
            <w:sz w:val="22"/>
            <w:szCs w:val="22"/>
          </w:rPr>
          <w:t xml:space="preserve">Pio X </w:t>
        </w:r>
      </w:hyperlink>
      <w:r w:rsidRPr="00860DF3">
        <w:rPr>
          <w:rFonts w:asciiTheme="minorHAnsi" w:hAnsiTheme="minorHAnsi" w:cstheme="minorHAnsi"/>
          <w:sz w:val="22"/>
          <w:szCs w:val="22"/>
        </w:rPr>
        <w:t xml:space="preserve">nel 1907. Dopo l’enciclica </w:t>
      </w:r>
      <w:proofErr w:type="spellStart"/>
      <w:r w:rsidRPr="00860DF3">
        <w:rPr>
          <w:rFonts w:asciiTheme="minorHAnsi" w:hAnsiTheme="minorHAnsi" w:cstheme="minorHAnsi"/>
          <w:i/>
          <w:iCs/>
          <w:sz w:val="22"/>
          <w:szCs w:val="22"/>
        </w:rPr>
        <w:t>Pascendi</w:t>
      </w:r>
      <w:proofErr w:type="spellEnd"/>
      <w:r w:rsidRPr="00860DF3">
        <w:rPr>
          <w:rFonts w:asciiTheme="minorHAnsi" w:hAnsiTheme="minorHAnsi" w:cstheme="minorHAnsi"/>
          <w:sz w:val="22"/>
          <w:szCs w:val="22"/>
        </w:rPr>
        <w:t xml:space="preserve"> la circolazione di queste idee restò affidata a collane editrici laiche, come Bocca (che ripubblicò tra l’altro, nel 1911, la risposta di </w:t>
      </w:r>
      <w:hyperlink r:id="rId12" w:history="1">
        <w:r w:rsidRPr="00860DF3">
          <w:rPr>
            <w:rStyle w:val="Collegamentoipertestuale"/>
            <w:rFonts w:asciiTheme="minorHAnsi" w:hAnsiTheme="minorHAnsi" w:cstheme="minorHAnsi"/>
            <w:sz w:val="22"/>
            <w:szCs w:val="22"/>
          </w:rPr>
          <w:t>Buonaiuti</w:t>
        </w:r>
      </w:hyperlink>
      <w:r w:rsidRPr="00860DF3">
        <w:rPr>
          <w:rFonts w:asciiTheme="minorHAnsi" w:hAnsiTheme="minorHAnsi" w:cstheme="minorHAnsi"/>
          <w:sz w:val="22"/>
          <w:szCs w:val="22"/>
        </w:rPr>
        <w:t xml:space="preserve"> all’enciclica, </w:t>
      </w:r>
      <w:r w:rsidRPr="00860DF3">
        <w:rPr>
          <w:rFonts w:asciiTheme="minorHAnsi" w:hAnsiTheme="minorHAnsi" w:cstheme="minorHAnsi"/>
          <w:i/>
          <w:iCs/>
          <w:sz w:val="22"/>
          <w:szCs w:val="22"/>
        </w:rPr>
        <w:t>Il programma dei modernisti</w:t>
      </w:r>
      <w:r w:rsidRPr="00860DF3">
        <w:rPr>
          <w:rFonts w:asciiTheme="minorHAnsi" w:hAnsiTheme="minorHAnsi" w:cstheme="minorHAnsi"/>
          <w:sz w:val="22"/>
          <w:szCs w:val="22"/>
        </w:rPr>
        <w:t xml:space="preserve">), </w:t>
      </w:r>
      <w:hyperlink r:id="rId13" w:history="1">
        <w:r w:rsidRPr="00860DF3">
          <w:rPr>
            <w:rStyle w:val="Collegamentoipertestuale"/>
            <w:rFonts w:asciiTheme="minorHAnsi" w:hAnsiTheme="minorHAnsi" w:cstheme="minorHAnsi"/>
            <w:sz w:val="22"/>
            <w:szCs w:val="22"/>
          </w:rPr>
          <w:t>Treves</w:t>
        </w:r>
      </w:hyperlink>
      <w:r w:rsidRPr="00860DF3">
        <w:rPr>
          <w:rFonts w:asciiTheme="minorHAnsi" w:hAnsiTheme="minorHAnsi" w:cstheme="minorHAnsi"/>
          <w:sz w:val="22"/>
          <w:szCs w:val="22"/>
        </w:rPr>
        <w:t xml:space="preserve">, </w:t>
      </w:r>
      <w:hyperlink r:id="rId14" w:history="1">
        <w:r w:rsidRPr="00860DF3">
          <w:rPr>
            <w:rStyle w:val="Collegamentoipertestuale"/>
            <w:rFonts w:asciiTheme="minorHAnsi" w:hAnsiTheme="minorHAnsi" w:cstheme="minorHAnsi"/>
            <w:sz w:val="22"/>
            <w:szCs w:val="22"/>
          </w:rPr>
          <w:t>Vallecch</w:t>
        </w:r>
      </w:hyperlink>
      <w:r w:rsidRPr="00860DF3">
        <w:rPr>
          <w:rFonts w:asciiTheme="minorHAnsi" w:hAnsiTheme="minorHAnsi" w:cstheme="minorHAnsi"/>
          <w:sz w:val="22"/>
          <w:szCs w:val="22"/>
        </w:rPr>
        <w:t xml:space="preserve">i, </w:t>
      </w:r>
      <w:hyperlink r:id="rId15" w:history="1">
        <w:r w:rsidRPr="00860DF3">
          <w:rPr>
            <w:rStyle w:val="Collegamentoipertestuale"/>
            <w:rFonts w:asciiTheme="minorHAnsi" w:hAnsiTheme="minorHAnsi" w:cstheme="minorHAnsi"/>
            <w:sz w:val="22"/>
            <w:szCs w:val="22"/>
          </w:rPr>
          <w:t>Formiggini</w:t>
        </w:r>
      </w:hyperlink>
      <w:r w:rsidRPr="00860DF3">
        <w:rPr>
          <w:rFonts w:asciiTheme="minorHAnsi" w:hAnsiTheme="minorHAnsi" w:cstheme="minorHAnsi"/>
          <w:sz w:val="22"/>
          <w:szCs w:val="22"/>
        </w:rPr>
        <w:t xml:space="preserve">, Baldini e Castoldi, editore del romanzo modernista </w:t>
      </w:r>
      <w:r w:rsidRPr="00860DF3">
        <w:rPr>
          <w:rFonts w:asciiTheme="minorHAnsi" w:hAnsiTheme="minorHAnsi" w:cstheme="minorHAnsi"/>
          <w:i/>
          <w:iCs/>
          <w:sz w:val="22"/>
          <w:szCs w:val="22"/>
        </w:rPr>
        <w:t>Il Santo</w:t>
      </w:r>
      <w:r w:rsidRPr="00860DF3">
        <w:rPr>
          <w:rFonts w:asciiTheme="minorHAnsi" w:hAnsiTheme="minorHAnsi" w:cstheme="minorHAnsi"/>
          <w:sz w:val="22"/>
          <w:szCs w:val="22"/>
        </w:rPr>
        <w:t xml:space="preserve"> di </w:t>
      </w:r>
      <w:hyperlink r:id="rId16" w:history="1">
        <w:r w:rsidRPr="00860DF3">
          <w:rPr>
            <w:rStyle w:val="Collegamentoipertestuale"/>
            <w:rFonts w:asciiTheme="minorHAnsi" w:hAnsiTheme="minorHAnsi" w:cstheme="minorHAnsi"/>
            <w:sz w:val="22"/>
            <w:szCs w:val="22"/>
          </w:rPr>
          <w:t>Antonio Fogazzaro</w:t>
        </w:r>
      </w:hyperlink>
      <w:r w:rsidRPr="00860DF3">
        <w:rPr>
          <w:rFonts w:asciiTheme="minorHAnsi" w:hAnsiTheme="minorHAnsi" w:cstheme="minorHAnsi"/>
          <w:sz w:val="22"/>
          <w:szCs w:val="22"/>
        </w:rPr>
        <w:t xml:space="preserve"> (1905). </w:t>
      </w:r>
      <w:hyperlink r:id="rId17" w:history="1">
        <w:r w:rsidRPr="00860DF3">
          <w:rPr>
            <w:rStyle w:val="Collegamentoipertestuale"/>
            <w:rFonts w:asciiTheme="minorHAnsi" w:hAnsiTheme="minorHAnsi" w:cstheme="minorHAnsi"/>
            <w:sz w:val="22"/>
            <w:szCs w:val="22"/>
          </w:rPr>
          <w:t>https://www.treccani.it/enciclopedia/l-editoria-cattolica-dall-unita-alla-fine-del-fascismo_(Cristiani-d%27Italia)/</w:t>
        </w:r>
      </w:hyperlink>
      <w:r w:rsidRPr="00860DF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456312E" w14:textId="77777777" w:rsidR="006C709E" w:rsidRPr="00860DF3" w:rsidRDefault="006C709E" w:rsidP="00860DF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187FEFF" w14:textId="77777777" w:rsidR="0031062F" w:rsidRPr="00860DF3" w:rsidRDefault="0031062F" w:rsidP="00860DF3">
      <w:pPr>
        <w:jc w:val="both"/>
        <w:rPr>
          <w:rFonts w:asciiTheme="minorHAnsi" w:hAnsiTheme="minorHAnsi" w:cstheme="minorHAnsi"/>
        </w:rPr>
      </w:pPr>
    </w:p>
    <w:sectPr w:rsidR="0031062F" w:rsidRPr="00860DF3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D26F1"/>
    <w:rsid w:val="00135289"/>
    <w:rsid w:val="0031062F"/>
    <w:rsid w:val="003605E3"/>
    <w:rsid w:val="00375F4B"/>
    <w:rsid w:val="003811E4"/>
    <w:rsid w:val="00441058"/>
    <w:rsid w:val="004D26F1"/>
    <w:rsid w:val="00653982"/>
    <w:rsid w:val="006C709E"/>
    <w:rsid w:val="00860DF3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3FDF0"/>
  <w15:chartTrackingRefBased/>
  <w15:docId w15:val="{304F613A-E801-4860-B07D-280E5CF35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709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D26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D26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D26F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D26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D26F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D26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D26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D26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D26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D26F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D26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D26F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D26F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D26F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D26F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D26F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D26F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D26F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D26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D26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D26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D26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D26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D26F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D26F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D26F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D26F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D26F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D26F1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uiPriority w:val="99"/>
    <w:rsid w:val="006C709E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C70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ccani.it/enciclopedia/ernesto-buonaiuti_%28Dizionario-Biografico%29/" TargetMode="External"/><Relationship Id="rId13" Type="http://schemas.openxmlformats.org/officeDocument/2006/relationships/hyperlink" Target="http://www.treccani.it/enciclopedia/emilio-treves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reccani.it/enciclopedia/ernesto-buonaiuti_%28Dizionario-Biografico%29/" TargetMode="External"/><Relationship Id="rId12" Type="http://schemas.openxmlformats.org/officeDocument/2006/relationships/hyperlink" Target="http://www.treccani.it/enciclopedia/ernesto-buonaiuti_%28Dizionario-Biografico%29/" TargetMode="External"/><Relationship Id="rId17" Type="http://schemas.openxmlformats.org/officeDocument/2006/relationships/hyperlink" Target="https://www.treccani.it/enciclopedia/l-editoria-cattolica-dall-unita-alla-fine-del-fascismo_(Cristiani-d%27Italia)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reccani.it/enciclopedia/antonio-fogazzaro_%28Dizionario-Biografico%29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treccani.it/enciclopedia/ernesto-buonaiuti_%28Dizionario-Biografico%29/" TargetMode="External"/><Relationship Id="rId11" Type="http://schemas.openxmlformats.org/officeDocument/2006/relationships/hyperlink" Target="http://www.treccani.it/enciclopedia/santo-pio-x_%28Enciclopedia-dei-Papi%29/" TargetMode="External"/><Relationship Id="rId5" Type="http://schemas.openxmlformats.org/officeDocument/2006/relationships/hyperlink" Target="http://digitale.bnc.roma.sbn.it/tecadigitale/emeroteca/classic/RML0021246" TargetMode="External"/><Relationship Id="rId15" Type="http://schemas.openxmlformats.org/officeDocument/2006/relationships/hyperlink" Target="http://www.treccani.it/enciclopedia/angelo-fortunato-formiggini_%28Dizionario-Biografico%29/" TargetMode="External"/><Relationship Id="rId10" Type="http://schemas.openxmlformats.org/officeDocument/2006/relationships/hyperlink" Target="http://www.treccani.it/enciclopedia/romolo-murri/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://www.treccani.it/enciclopedia/john-henry-newman/" TargetMode="External"/><Relationship Id="rId14" Type="http://schemas.openxmlformats.org/officeDocument/2006/relationships/hyperlink" Target="http://www.treccani.it/enciclopedia/vallecchi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2026-08-05T17:53:00Z</dcterms:created>
  <dcterms:modified xsi:type="dcterms:W3CDTF">2026-08-05T18:22:00Z</dcterms:modified>
</cp:coreProperties>
</file>