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8FE80" w14:textId="5C626D70" w:rsidR="00DD2A86" w:rsidRPr="00D20D6D" w:rsidRDefault="00DD2A86" w:rsidP="007D5B5E">
      <w:pPr>
        <w:spacing w:after="0" w:line="240" w:lineRule="auto"/>
        <w:jc w:val="both"/>
        <w:rPr>
          <w:rFonts w:cstheme="minorHAnsi"/>
          <w:i/>
          <w:sz w:val="16"/>
          <w:szCs w:val="16"/>
          <w:lang w:eastAsia="it-IT"/>
        </w:rPr>
      </w:pPr>
      <w:r w:rsidRPr="00D20D6D">
        <w:rPr>
          <w:rFonts w:cstheme="minorHAnsi"/>
          <w:b/>
          <w:color w:val="C00000"/>
          <w:sz w:val="48"/>
          <w:szCs w:val="48"/>
          <w:lang w:eastAsia="it-IT"/>
        </w:rPr>
        <w:t>CC44</w:t>
      </w:r>
      <w:r>
        <w:rPr>
          <w:rFonts w:cstheme="minorHAnsi"/>
          <w:b/>
          <w:color w:val="C00000"/>
          <w:sz w:val="48"/>
          <w:szCs w:val="48"/>
          <w:lang w:eastAsia="it-IT"/>
        </w:rPr>
        <w:t>0</w:t>
      </w:r>
      <w:r w:rsidRPr="00D20D6D">
        <w:rPr>
          <w:rFonts w:cstheme="minorHAnsi"/>
          <w:b/>
          <w:lang w:eastAsia="it-IT"/>
        </w:rPr>
        <w:tab/>
      </w:r>
      <w:r w:rsidRPr="00D20D6D">
        <w:rPr>
          <w:rFonts w:cstheme="minorHAnsi"/>
          <w:b/>
          <w:lang w:eastAsia="it-IT"/>
        </w:rPr>
        <w:tab/>
      </w:r>
      <w:r w:rsidRPr="00D20D6D">
        <w:rPr>
          <w:rFonts w:cstheme="minorHAnsi"/>
          <w:b/>
          <w:lang w:eastAsia="it-IT"/>
        </w:rPr>
        <w:tab/>
      </w:r>
      <w:r w:rsidRPr="00D20D6D">
        <w:rPr>
          <w:rFonts w:cstheme="minorHAnsi"/>
          <w:b/>
          <w:lang w:eastAsia="it-IT"/>
        </w:rPr>
        <w:tab/>
      </w:r>
      <w:r w:rsidRPr="00D20D6D">
        <w:rPr>
          <w:rFonts w:cstheme="minorHAnsi"/>
          <w:b/>
          <w:lang w:eastAsia="it-IT"/>
        </w:rPr>
        <w:tab/>
      </w:r>
      <w:r w:rsidRPr="00D20D6D">
        <w:rPr>
          <w:rFonts w:cstheme="minorHAnsi"/>
          <w:b/>
          <w:lang w:eastAsia="it-IT"/>
        </w:rPr>
        <w:tab/>
      </w:r>
      <w:r w:rsidRPr="00D20D6D">
        <w:rPr>
          <w:rFonts w:cstheme="minorHAnsi"/>
          <w:b/>
          <w:lang w:eastAsia="it-IT"/>
        </w:rPr>
        <w:tab/>
      </w:r>
      <w:r w:rsidRPr="00D20D6D">
        <w:rPr>
          <w:rFonts w:cstheme="minorHAnsi"/>
          <w:b/>
          <w:lang w:eastAsia="it-IT"/>
        </w:rPr>
        <w:tab/>
      </w:r>
      <w:r>
        <w:rPr>
          <w:rFonts w:cstheme="minorHAnsi"/>
          <w:b/>
          <w:lang w:eastAsia="it-IT"/>
        </w:rPr>
        <w:tab/>
      </w:r>
      <w:r w:rsidRPr="00D20D6D">
        <w:rPr>
          <w:rFonts w:cstheme="minorHAnsi"/>
          <w:i/>
          <w:sz w:val="16"/>
          <w:szCs w:val="16"/>
          <w:lang w:eastAsia="it-IT"/>
        </w:rPr>
        <w:t>Scheda creata il 3</w:t>
      </w:r>
      <w:r>
        <w:rPr>
          <w:rFonts w:cstheme="minorHAnsi"/>
          <w:i/>
          <w:sz w:val="16"/>
          <w:szCs w:val="16"/>
          <w:lang w:eastAsia="it-IT"/>
        </w:rPr>
        <w:t>1</w:t>
      </w:r>
      <w:r w:rsidRPr="00D20D6D">
        <w:rPr>
          <w:rFonts w:cstheme="minorHAnsi"/>
          <w:i/>
          <w:sz w:val="16"/>
          <w:szCs w:val="16"/>
          <w:lang w:eastAsia="it-IT"/>
        </w:rPr>
        <w:t xml:space="preserve"> </w:t>
      </w:r>
      <w:r>
        <w:rPr>
          <w:rFonts w:cstheme="minorHAnsi"/>
          <w:i/>
          <w:sz w:val="16"/>
          <w:szCs w:val="16"/>
          <w:lang w:eastAsia="it-IT"/>
        </w:rPr>
        <w:t>luglio</w:t>
      </w:r>
      <w:r w:rsidRPr="00D20D6D">
        <w:rPr>
          <w:rFonts w:cstheme="minorHAnsi"/>
          <w:i/>
          <w:sz w:val="16"/>
          <w:szCs w:val="16"/>
          <w:lang w:eastAsia="it-IT"/>
        </w:rPr>
        <w:t xml:space="preserve"> 202</w:t>
      </w:r>
      <w:r>
        <w:rPr>
          <w:rFonts w:cstheme="minorHAnsi"/>
          <w:i/>
          <w:sz w:val="16"/>
          <w:szCs w:val="16"/>
          <w:lang w:eastAsia="it-IT"/>
        </w:rPr>
        <w:t>6</w:t>
      </w:r>
    </w:p>
    <w:p w14:paraId="6FA72A95" w14:textId="5540AE7C" w:rsidR="00DD2A86" w:rsidRPr="00D20D6D" w:rsidRDefault="00DD2A86" w:rsidP="007D5B5E">
      <w:pPr>
        <w:spacing w:after="0" w:line="240" w:lineRule="auto"/>
        <w:jc w:val="both"/>
        <w:rPr>
          <w:rFonts w:cstheme="minorHAnsi"/>
          <w:b/>
          <w:color w:val="C00000"/>
          <w:sz w:val="48"/>
          <w:szCs w:val="48"/>
          <w:lang w:eastAsia="it-IT"/>
        </w:rPr>
      </w:pPr>
      <w:r w:rsidRPr="00D20D6D">
        <w:rPr>
          <w:rFonts w:cstheme="minorHAnsi"/>
          <w:b/>
          <w:color w:val="C00000"/>
          <w:sz w:val="48"/>
          <w:szCs w:val="48"/>
          <w:lang w:eastAsia="it-IT"/>
        </w:rPr>
        <w:t xml:space="preserve">Descrizione bibliografica </w:t>
      </w:r>
    </w:p>
    <w:p w14:paraId="2125A702" w14:textId="1C7CCA81" w:rsidR="00DD2A86" w:rsidRPr="007D5B5E" w:rsidRDefault="00DD2A86" w:rsidP="007D5B5E">
      <w:pPr>
        <w:spacing w:after="0" w:line="240" w:lineRule="auto"/>
        <w:jc w:val="both"/>
        <w:rPr>
          <w:sz w:val="26"/>
          <w:szCs w:val="26"/>
        </w:rPr>
      </w:pPr>
      <w:r w:rsidRPr="007D5B5E">
        <w:rPr>
          <w:sz w:val="26"/>
          <w:szCs w:val="26"/>
        </w:rPr>
        <w:t>Il *</w:t>
      </w:r>
      <w:r w:rsidRPr="007D5B5E">
        <w:rPr>
          <w:b/>
          <w:sz w:val="26"/>
          <w:szCs w:val="26"/>
        </w:rPr>
        <w:t xml:space="preserve">Gerdil </w:t>
      </w:r>
      <w:r w:rsidRPr="007D5B5E">
        <w:rPr>
          <w:sz w:val="26"/>
          <w:szCs w:val="26"/>
        </w:rPr>
        <w:t xml:space="preserve">: giornale ebdomadario di scienze e lettere / redatto da una Società di professori in </w:t>
      </w:r>
      <w:r w:rsidRPr="007D5B5E">
        <w:rPr>
          <w:bCs/>
          <w:sz w:val="26"/>
          <w:szCs w:val="26"/>
        </w:rPr>
        <w:t xml:space="preserve">Torino. </w:t>
      </w:r>
      <w:r w:rsidRPr="007D5B5E">
        <w:rPr>
          <w:sz w:val="26"/>
          <w:szCs w:val="26"/>
        </w:rPr>
        <w:t>- Anno 1, vol. 1 (5 gennaio 1867)-    . – Torino : tip. torinese</w:t>
      </w:r>
      <w:r w:rsidRPr="007D5B5E">
        <w:rPr>
          <w:sz w:val="26"/>
          <w:szCs w:val="26"/>
        </w:rPr>
        <w:t>, 1867-1869</w:t>
      </w:r>
      <w:r w:rsidRPr="007D5B5E">
        <w:rPr>
          <w:sz w:val="26"/>
          <w:szCs w:val="26"/>
        </w:rPr>
        <w:t xml:space="preserve">. – </w:t>
      </w:r>
      <w:r w:rsidRPr="007D5B5E">
        <w:rPr>
          <w:sz w:val="26"/>
          <w:szCs w:val="26"/>
        </w:rPr>
        <w:t>3</w:t>
      </w:r>
      <w:r w:rsidRPr="007D5B5E">
        <w:rPr>
          <w:sz w:val="26"/>
          <w:szCs w:val="26"/>
        </w:rPr>
        <w:t xml:space="preserve"> volum</w:t>
      </w:r>
      <w:r w:rsidRPr="007D5B5E">
        <w:rPr>
          <w:sz w:val="26"/>
          <w:szCs w:val="26"/>
        </w:rPr>
        <w:t>i</w:t>
      </w:r>
      <w:r w:rsidRPr="007D5B5E">
        <w:rPr>
          <w:sz w:val="26"/>
          <w:szCs w:val="26"/>
        </w:rPr>
        <w:t xml:space="preserve"> ; 24 cm. ((Settimanale. - Dall'anno 1, vol. 2 il complemento del titolo varia in: periodico settimanale religioso, filosofico, istorico e letterario. - TO00184967</w:t>
      </w:r>
    </w:p>
    <w:p w14:paraId="3C84BD09" w14:textId="60879E88" w:rsidR="00DD2A86" w:rsidRPr="007D5B5E" w:rsidRDefault="00DD2A86" w:rsidP="007D5B5E">
      <w:pPr>
        <w:spacing w:after="0" w:line="240" w:lineRule="auto"/>
        <w:jc w:val="both"/>
        <w:rPr>
          <w:sz w:val="26"/>
          <w:szCs w:val="26"/>
        </w:rPr>
      </w:pPr>
      <w:r w:rsidRPr="007D5B5E">
        <w:rPr>
          <w:sz w:val="26"/>
          <w:szCs w:val="26"/>
        </w:rPr>
        <w:t>Soggett</w:t>
      </w:r>
      <w:r w:rsidR="007D5B5E" w:rsidRPr="007D5B5E">
        <w:rPr>
          <w:sz w:val="26"/>
          <w:szCs w:val="26"/>
        </w:rPr>
        <w:t>i</w:t>
      </w:r>
      <w:r w:rsidRPr="007D5B5E">
        <w:rPr>
          <w:sz w:val="26"/>
          <w:szCs w:val="26"/>
        </w:rPr>
        <w:t xml:space="preserve">: </w:t>
      </w:r>
      <w:r w:rsidR="007D5B5E" w:rsidRPr="007D5B5E">
        <w:rPr>
          <w:sz w:val="26"/>
          <w:szCs w:val="26"/>
        </w:rPr>
        <w:t>Cultura</w:t>
      </w:r>
      <w:r w:rsidRPr="007D5B5E">
        <w:rPr>
          <w:sz w:val="26"/>
          <w:szCs w:val="26"/>
        </w:rPr>
        <w:t xml:space="preserve"> </w:t>
      </w:r>
      <w:r w:rsidRPr="007D5B5E">
        <w:rPr>
          <w:sz w:val="26"/>
          <w:szCs w:val="26"/>
        </w:rPr>
        <w:t>–</w:t>
      </w:r>
      <w:r w:rsidRPr="007D5B5E">
        <w:rPr>
          <w:sz w:val="26"/>
          <w:szCs w:val="26"/>
        </w:rPr>
        <w:t xml:space="preserve"> Periodici</w:t>
      </w:r>
      <w:r w:rsidR="007D5B5E" w:rsidRPr="007D5B5E">
        <w:rPr>
          <w:sz w:val="26"/>
          <w:szCs w:val="26"/>
        </w:rPr>
        <w:t xml:space="preserve">; Filosofia – Periodici; </w:t>
      </w:r>
      <w:r w:rsidR="007D5B5E" w:rsidRPr="007D5B5E">
        <w:rPr>
          <w:sz w:val="26"/>
          <w:szCs w:val="26"/>
        </w:rPr>
        <w:t>Gerdil, Giacinto Sigismondo</w:t>
      </w:r>
      <w:r w:rsidR="007D5B5E" w:rsidRPr="007D5B5E">
        <w:rPr>
          <w:sz w:val="26"/>
          <w:szCs w:val="26"/>
        </w:rPr>
        <w:t xml:space="preserve"> – Periodici</w:t>
      </w:r>
    </w:p>
    <w:p w14:paraId="13C0BCC8" w14:textId="77777777" w:rsidR="007D5B5E" w:rsidRDefault="007D5B5E" w:rsidP="007D5B5E">
      <w:pPr>
        <w:spacing w:after="0" w:line="240" w:lineRule="auto"/>
        <w:jc w:val="both"/>
      </w:pPr>
    </w:p>
    <w:p w14:paraId="2F1C91C7" w14:textId="77777777" w:rsidR="00DD2A86" w:rsidRPr="00D20D6D" w:rsidRDefault="00DD2A86" w:rsidP="007D5B5E">
      <w:pPr>
        <w:spacing w:after="0" w:line="240" w:lineRule="auto"/>
        <w:jc w:val="both"/>
        <w:rPr>
          <w:rFonts w:cstheme="minorHAnsi"/>
          <w:b/>
          <w:bCs/>
          <w:color w:val="C00000"/>
          <w:sz w:val="44"/>
          <w:szCs w:val="44"/>
        </w:rPr>
      </w:pPr>
      <w:r w:rsidRPr="00D20D6D">
        <w:rPr>
          <w:rFonts w:cstheme="minorHAnsi"/>
          <w:b/>
          <w:bCs/>
          <w:color w:val="C00000"/>
          <w:sz w:val="44"/>
          <w:szCs w:val="44"/>
        </w:rPr>
        <w:t>Informazioni storico-bibliografiche</w:t>
      </w:r>
    </w:p>
    <w:p w14:paraId="7E145B15" w14:textId="0D21476C" w:rsidR="00DD2A86" w:rsidRDefault="00DD2A86" w:rsidP="007D5B5E">
      <w:pPr>
        <w:spacing w:after="0" w:line="240" w:lineRule="auto"/>
        <w:jc w:val="both"/>
      </w:pPr>
      <w:r w:rsidRPr="00DD2A86">
        <w:t>Il Gerdil, «giornale ebdomadario di scienze e lettere, redatto da una società di professori di Torino » fu pubblicato sotto la sua direzione, ed in compagnia di Bertóni, di Peyretti, non che di alcuni altri colleghi ed amici nel 1867 dal principio alla fine dell’anno. Il giornale si ispirava e modellava sull’uomo di cui portava il nome. Più determinatamente lo scopo e la natura di esso erano, nel Programma, desig</w:t>
      </w:r>
      <w:r>
        <w:t>n</w:t>
      </w:r>
      <w:r w:rsidRPr="00DD2A86">
        <w:t>ati con queste parole : «Studiare ed esporre amorosamente la scienza nelle varie sue pertinenze e zelarne i progressi, porgere conforto di lodi meritate</w:t>
      </w:r>
      <w:r>
        <w:t xml:space="preserve"> […]. </w:t>
      </w:r>
      <w:hyperlink r:id="rId4" w:history="1">
        <w:r w:rsidRPr="00DD2A86">
          <w:rPr>
            <w:rStyle w:val="Collegamentoipertestuale"/>
          </w:rPr>
          <w:t>Museo Torino</w:t>
        </w:r>
      </w:hyperlink>
    </w:p>
    <w:p w14:paraId="318D19BD" w14:textId="77777777" w:rsidR="007D5B5E" w:rsidRDefault="007D5B5E" w:rsidP="007D5B5E">
      <w:pPr>
        <w:spacing w:after="0" w:line="240" w:lineRule="auto"/>
        <w:jc w:val="both"/>
      </w:pPr>
    </w:p>
    <w:p w14:paraId="3DB5927E" w14:textId="50BDB2F4" w:rsidR="00DD2A86" w:rsidRDefault="00DD2A86" w:rsidP="007D5B5E">
      <w:pPr>
        <w:spacing w:after="0" w:line="240" w:lineRule="auto"/>
        <w:jc w:val="both"/>
      </w:pPr>
      <w:r w:rsidRPr="00DD2A86">
        <w:t>Dopo il conseguimento dell’unità italiana, assistiamo ad una serie di tentativi finalizzati a divulgare la visione filosofica giobertiana: apparvero le riviste «Il Gerdil»17 e «Il Campo dei filosofi italiani»18, entrambe durate pochi anni. La tentazione di porre sotto l’egida di un periodico la divulgazione delle idee rosminiane e giobertiane si è poi riproposta dopo la fondazione della FSI con alcune riviste, organo di gruppi intellettuali che intendevano contrastare l’offensiva in atto contro la filosofia di Rosmini da parte dei neotomisti e da una parte consistente della Chiesa istituzionale: abbiamo così «La Sapienza», diretta da Vincenzo Papa, cui collaborarono esponenti di rilievo dello spiritualismo come Francesco Acri e Giuseppe Allievo, ma soprattutto esponenti del rosminianesimo come Francesco Angeleri, Giovanni Battista Bulgarini, Giuseppe Buroni, Sebastiano Casara, Agostino Moglia, Antonio Stoppani, Agostino Tagliaferri19; e poi «Il Rosmini»20 e «Il Nuovo Rosmini»21, due periodici che lottarono strenuamente per difendere l’ortodossia di Rosmini, cedendo poi le armi dopo la condanna, avvenuta nel 1887, delle Quaranta proposizioni rosminiane da parte del Santo Uffizio22</w:t>
      </w:r>
    </w:p>
    <w:p w14:paraId="0B9AC913" w14:textId="1CAB4C1D" w:rsidR="00DD2A86" w:rsidRPr="007D5B5E" w:rsidRDefault="00DD2A86" w:rsidP="007D5B5E">
      <w:pPr>
        <w:spacing w:after="0" w:line="240" w:lineRule="auto"/>
        <w:jc w:val="both"/>
        <w:rPr>
          <w:i/>
          <w:iCs/>
        </w:rPr>
      </w:pPr>
      <w:r w:rsidRPr="00DD2A86">
        <w:t>17. «Il Gerdil, giornale ebdomadario di scienze e lettere redatto da una società di professori in Torino» durò dal 1867 al 1869. La rivista esplicitamente si riferiva al difensore della visione ontologistica, il cardinale savoiardo Giacinto Sigismondo Gerdil (del quale la rivista pubblica un profilo nel primo numero: I, 1867, pp. 5-12). Cfr. Del Noce, in BFI 1850-1900, pp. XXXVI-XXXVII. 18. «Il Campo dei filosofi italiani» ebbe origine a Napoli, grazie alle cure del barnabita Gaetano Milone; e poi fu diretto da Giuseppe Allievo (che trasportò la sede in Torino). Durò dal 1864 al 1872. Cfr. Del Noce, in BFI 1850-1900, pp. XXVII-XXVIII. 19. «La Sapienza» si stampò a Torino dal 1879 al 1886. Cfr. Del Noce, in BFI 1850-1900, pp. LXVI-LXIX. 20. «Il Rosmini» si stampò a Milano tra il 1887 ed il 1889. Cfr. Del Noce, in BFI 1850 1900, pp. LXIX-LXXIII. 21. «Il Nuovo Rosmini» sostituì «Il Rosmini», condannato dalle autorità ecclesiastiche. Durò dal 1889 al 1890. Fu pure esso costretto alla chiusura per le pressioni ecclesiastiche. Cfr. Del Noce, in BFI 1850-1900, pp. LI-LIII. 22. Sulla vicenda della condanna cfr. l’Introduzione di L. Malusa al volume che pubblica gli atti che portarono al decreto Post obitum: Antonio Rosmini e la Congregazione del Santo Uffizio. Atti e documenti inediti della condanna del 1887, a cura di L. Malusa, P. De Lucia, E. Guglielmi, FrancoAngeli, Milano 2008, pp. 11-60.</w:t>
      </w:r>
      <w:r>
        <w:t xml:space="preserve"> </w:t>
      </w:r>
      <w:r w:rsidR="007D5B5E" w:rsidRPr="007D5B5E">
        <w:rPr>
          <w:i/>
          <w:iCs/>
        </w:rPr>
        <w:t>La prima rivista italiana di discipline filosofiche: «La Filosofia delle Scuole Italiane» di Terenzio Mamiani Della Rovere (1870-1885) di Luciano Malusa, Natascia Poloni</w:t>
      </w:r>
      <w:r w:rsidR="007D5B5E" w:rsidRPr="007D5B5E">
        <w:rPr>
          <w:i/>
          <w:iCs/>
        </w:rPr>
        <w:t xml:space="preserve">. In: </w:t>
      </w:r>
      <w:r w:rsidR="007D5B5E" w:rsidRPr="007D5B5E">
        <w:rPr>
          <w:rFonts w:cstheme="minorHAnsi"/>
          <w:i/>
          <w:iCs/>
        </w:rPr>
        <w:t xml:space="preserve">Un secolo di filosofia italiana attraverso le riviste (1870-1960) / a cura di Piero Di Giovanni. - Milano : Angeli, 2012. </w:t>
      </w:r>
      <w:r w:rsidRPr="007D5B5E">
        <w:rPr>
          <w:i/>
          <w:iCs/>
        </w:rPr>
        <w:t>p.17</w:t>
      </w:r>
    </w:p>
    <w:p w14:paraId="04548D21" w14:textId="77777777" w:rsidR="0031062F" w:rsidRDefault="0031062F" w:rsidP="007D5B5E">
      <w:pPr>
        <w:spacing w:after="0" w:line="240" w:lineRule="auto"/>
        <w:jc w:val="both"/>
      </w:pPr>
    </w:p>
    <w:sectPr w:rsidR="0031062F"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615B4"/>
    <w:rsid w:val="0031062F"/>
    <w:rsid w:val="003605E3"/>
    <w:rsid w:val="00375F4B"/>
    <w:rsid w:val="003811E4"/>
    <w:rsid w:val="00653982"/>
    <w:rsid w:val="007D5B5E"/>
    <w:rsid w:val="00B615B4"/>
    <w:rsid w:val="00C71CAA"/>
    <w:rsid w:val="00CD4AAF"/>
    <w:rsid w:val="00D544E6"/>
    <w:rsid w:val="00DD2A86"/>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273DC"/>
  <w15:chartTrackingRefBased/>
  <w15:docId w15:val="{6F5F2F67-721E-4871-9C91-9EEAE03A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615B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B615B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B615B4"/>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B615B4"/>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B615B4"/>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B615B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615B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615B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615B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615B4"/>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B615B4"/>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B615B4"/>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B615B4"/>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B615B4"/>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B615B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615B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615B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615B4"/>
    <w:rPr>
      <w:rFonts w:eastAsiaTheme="majorEastAsia" w:cstheme="majorBidi"/>
      <w:color w:val="272727" w:themeColor="text1" w:themeTint="D8"/>
    </w:rPr>
  </w:style>
  <w:style w:type="paragraph" w:styleId="Titolo">
    <w:name w:val="Title"/>
    <w:basedOn w:val="Normale"/>
    <w:next w:val="Normale"/>
    <w:link w:val="TitoloCarattere"/>
    <w:uiPriority w:val="10"/>
    <w:qFormat/>
    <w:rsid w:val="00B615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615B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615B4"/>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615B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615B4"/>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B615B4"/>
    <w:rPr>
      <w:i/>
      <w:iCs/>
      <w:color w:val="404040" w:themeColor="text1" w:themeTint="BF"/>
    </w:rPr>
  </w:style>
  <w:style w:type="paragraph" w:styleId="Paragrafoelenco">
    <w:name w:val="List Paragraph"/>
    <w:basedOn w:val="Normale"/>
    <w:uiPriority w:val="34"/>
    <w:qFormat/>
    <w:rsid w:val="00B615B4"/>
    <w:pPr>
      <w:ind w:left="720"/>
      <w:contextualSpacing/>
    </w:pPr>
  </w:style>
  <w:style w:type="character" w:styleId="Enfasiintensa">
    <w:name w:val="Intense Emphasis"/>
    <w:basedOn w:val="Carpredefinitoparagrafo"/>
    <w:uiPriority w:val="21"/>
    <w:qFormat/>
    <w:rsid w:val="00B615B4"/>
    <w:rPr>
      <w:i/>
      <w:iCs/>
      <w:color w:val="365F91" w:themeColor="accent1" w:themeShade="BF"/>
    </w:rPr>
  </w:style>
  <w:style w:type="paragraph" w:styleId="Citazioneintensa">
    <w:name w:val="Intense Quote"/>
    <w:basedOn w:val="Normale"/>
    <w:next w:val="Normale"/>
    <w:link w:val="CitazioneintensaCarattere"/>
    <w:uiPriority w:val="30"/>
    <w:qFormat/>
    <w:rsid w:val="00B615B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B615B4"/>
    <w:rPr>
      <w:i/>
      <w:iCs/>
      <w:color w:val="365F91" w:themeColor="accent1" w:themeShade="BF"/>
    </w:rPr>
  </w:style>
  <w:style w:type="character" w:styleId="Riferimentointenso">
    <w:name w:val="Intense Reference"/>
    <w:basedOn w:val="Carpredefinitoparagrafo"/>
    <w:uiPriority w:val="32"/>
    <w:qFormat/>
    <w:rsid w:val="00B615B4"/>
    <w:rPr>
      <w:b/>
      <w:bCs/>
      <w:smallCaps/>
      <w:color w:val="365F91" w:themeColor="accent1" w:themeShade="BF"/>
      <w:spacing w:val="5"/>
    </w:rPr>
  </w:style>
  <w:style w:type="character" w:styleId="Collegamentoipertestuale">
    <w:name w:val="Hyperlink"/>
    <w:basedOn w:val="Carpredefinitoparagrafo"/>
    <w:uiPriority w:val="99"/>
    <w:unhideWhenUsed/>
    <w:rsid w:val="00DD2A86"/>
    <w:rPr>
      <w:color w:val="0000FF" w:themeColor="hyperlink"/>
      <w:u w:val="single"/>
    </w:rPr>
  </w:style>
  <w:style w:type="character" w:styleId="Menzionenonrisolta">
    <w:name w:val="Unresolved Mention"/>
    <w:basedOn w:val="Carpredefinitoparagrafo"/>
    <w:uiPriority w:val="99"/>
    <w:semiHidden/>
    <w:unhideWhenUsed/>
    <w:rsid w:val="00DD2A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ogle.com/url?sa=t&amp;source=web&amp;rct=j&amp;opi=89978449&amp;url=https://www.museotorino.it/resources/pdf/books/500/files/assets/common/downloads/page0158.pdf&amp;ved=2ahUKEwje2MvZ2fKVAxXQ0wIHHdeRNH4QFnoECBoQAQ&amp;usg=AOvVaw2s1H2Rcy9d9XTPaSJjq4-z"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644</Words>
  <Characters>3672</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2026-07-27T10:55:00Z</dcterms:created>
  <dcterms:modified xsi:type="dcterms:W3CDTF">2026-07-27T11:14:00Z</dcterms:modified>
</cp:coreProperties>
</file>