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AF4D" w14:textId="3ECB31B4" w:rsidR="000C526E" w:rsidRPr="00497E6B" w:rsidRDefault="000C526E" w:rsidP="000C526E">
      <w:pPr>
        <w:jc w:val="both"/>
        <w:rPr>
          <w:rFonts w:cstheme="minorHAnsi"/>
          <w:i/>
          <w:sz w:val="16"/>
          <w:szCs w:val="16"/>
          <w:lang w:eastAsia="it-IT"/>
        </w:rPr>
      </w:pPr>
      <w:r w:rsidRPr="00497E6B">
        <w:rPr>
          <w:rFonts w:cstheme="minorHAnsi"/>
          <w:b/>
          <w:color w:val="C00000"/>
          <w:sz w:val="48"/>
          <w:szCs w:val="48"/>
          <w:lang w:eastAsia="it-IT"/>
        </w:rPr>
        <w:t>CC</w:t>
      </w:r>
      <w:r>
        <w:rPr>
          <w:rFonts w:cstheme="minorHAnsi"/>
          <w:b/>
          <w:color w:val="C00000"/>
          <w:sz w:val="48"/>
          <w:szCs w:val="48"/>
          <w:lang w:eastAsia="it-IT"/>
        </w:rPr>
        <w:t>634</w:t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b/>
          <w:lang w:eastAsia="it-IT"/>
        </w:rPr>
        <w:tab/>
      </w:r>
      <w:r w:rsidRPr="00497E6B">
        <w:rPr>
          <w:rFonts w:cstheme="minorHAnsi"/>
          <w:i/>
          <w:sz w:val="16"/>
          <w:szCs w:val="16"/>
          <w:lang w:eastAsia="it-IT"/>
        </w:rPr>
        <w:t>Scheda creata il 12 settembre 2026</w:t>
      </w:r>
    </w:p>
    <w:p w14:paraId="0CC9E8E1" w14:textId="6EEF552D" w:rsidR="000C526E" w:rsidRPr="00497E6B" w:rsidRDefault="000C526E" w:rsidP="000C526E">
      <w:pPr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497E6B">
        <w:rPr>
          <w:rFonts w:cstheme="minorHAnsi"/>
          <w:b/>
          <w:color w:val="C00000"/>
          <w:sz w:val="48"/>
          <w:szCs w:val="48"/>
          <w:lang w:eastAsia="it-IT"/>
        </w:rPr>
        <w:t>Descrizione bibliografica</w:t>
      </w:r>
    </w:p>
    <w:p w14:paraId="376DB8B5" w14:textId="71F298B7" w:rsidR="000C526E" w:rsidRDefault="000C526E" w:rsidP="000C526E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420B50F" wp14:editId="02D98EF5">
            <wp:extent cx="2534400" cy="2880000"/>
            <wp:effectExtent l="0" t="0" r="0" b="0"/>
            <wp:docPr id="20343274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526E">
        <w:rPr>
          <w:b/>
        </w:rPr>
        <w:drawing>
          <wp:inline distT="0" distB="0" distL="0" distR="0" wp14:anchorId="01823257" wp14:editId="6F4E04D3">
            <wp:extent cx="1911600" cy="2880000"/>
            <wp:effectExtent l="0" t="0" r="0" b="0"/>
            <wp:docPr id="4442552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552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1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40CB" w14:textId="3BC2A211" w:rsidR="000C526E" w:rsidRPr="000C526E" w:rsidRDefault="000C526E" w:rsidP="000C526E">
      <w:pPr>
        <w:spacing w:after="0" w:line="240" w:lineRule="auto"/>
        <w:jc w:val="both"/>
        <w:rPr>
          <w:sz w:val="32"/>
          <w:szCs w:val="32"/>
        </w:rPr>
      </w:pPr>
      <w:r w:rsidRPr="000C526E">
        <w:rPr>
          <w:b/>
          <w:sz w:val="32"/>
          <w:szCs w:val="32"/>
        </w:rPr>
        <w:t>*Bollettino del Comizio agrario parmense</w:t>
      </w:r>
      <w:r w:rsidRPr="000C526E">
        <w:rPr>
          <w:sz w:val="32"/>
          <w:szCs w:val="32"/>
        </w:rPr>
        <w:t xml:space="preserve">. - Parma : Tipografia di G. Ferrari, 1868-1900. – 33 volumi ; 23 cm. ((Mensile. - Descrizione basata su: anno </w:t>
      </w:r>
      <w:r w:rsidRPr="000C526E">
        <w:rPr>
          <w:sz w:val="32"/>
          <w:szCs w:val="32"/>
        </w:rPr>
        <w:t>14</w:t>
      </w:r>
      <w:r w:rsidRPr="000C526E">
        <w:rPr>
          <w:sz w:val="32"/>
          <w:szCs w:val="32"/>
        </w:rPr>
        <w:t>, n. 1 (gennaio 188</w:t>
      </w:r>
      <w:r w:rsidRPr="000C526E">
        <w:rPr>
          <w:sz w:val="32"/>
          <w:szCs w:val="32"/>
        </w:rPr>
        <w:t>1</w:t>
      </w:r>
      <w:r w:rsidRPr="000C526E">
        <w:rPr>
          <w:sz w:val="32"/>
          <w:szCs w:val="32"/>
        </w:rPr>
        <w:t>). - TO00178898</w:t>
      </w:r>
    </w:p>
    <w:p w14:paraId="009A9A58" w14:textId="77777777" w:rsidR="000C526E" w:rsidRPr="000C526E" w:rsidRDefault="000C526E" w:rsidP="000C526E">
      <w:pPr>
        <w:spacing w:after="0" w:line="240" w:lineRule="auto"/>
        <w:jc w:val="both"/>
        <w:rPr>
          <w:sz w:val="32"/>
          <w:szCs w:val="32"/>
        </w:rPr>
      </w:pPr>
      <w:r w:rsidRPr="000C526E">
        <w:rPr>
          <w:sz w:val="32"/>
          <w:szCs w:val="32"/>
        </w:rPr>
        <w:t>Autore: Comizio agrario parmense</w:t>
      </w:r>
    </w:p>
    <w:p w14:paraId="0F26D130" w14:textId="37EFDA85" w:rsidR="000C526E" w:rsidRPr="000C526E" w:rsidRDefault="000C526E" w:rsidP="000C526E">
      <w:pPr>
        <w:spacing w:after="0" w:line="240" w:lineRule="auto"/>
        <w:jc w:val="both"/>
        <w:rPr>
          <w:sz w:val="32"/>
          <w:szCs w:val="32"/>
        </w:rPr>
      </w:pPr>
      <w:r w:rsidRPr="000C526E">
        <w:rPr>
          <w:sz w:val="32"/>
          <w:szCs w:val="32"/>
        </w:rPr>
        <w:t>Sogetto: Agricoltura – Parma &lt;prov.&gt; - 1868-1900</w:t>
      </w:r>
    </w:p>
    <w:p w14:paraId="4EE1C15D" w14:textId="227E2948" w:rsidR="000C526E" w:rsidRPr="000C526E" w:rsidRDefault="000C526E" w:rsidP="000C526E">
      <w:pPr>
        <w:spacing w:after="0" w:line="240" w:lineRule="auto"/>
        <w:jc w:val="both"/>
        <w:rPr>
          <w:bCs/>
          <w:sz w:val="32"/>
          <w:szCs w:val="32"/>
        </w:rPr>
      </w:pPr>
      <w:r w:rsidRPr="000C526E">
        <w:rPr>
          <w:b/>
          <w:color w:val="C00000"/>
          <w:sz w:val="32"/>
          <w:szCs w:val="32"/>
        </w:rPr>
        <w:t>Copia digitale</w:t>
      </w:r>
      <w:r w:rsidRPr="000C526E">
        <w:rPr>
          <w:bCs/>
          <w:color w:val="C00000"/>
          <w:sz w:val="32"/>
          <w:szCs w:val="32"/>
        </w:rPr>
        <w:t xml:space="preserve"> </w:t>
      </w:r>
      <w:hyperlink r:id="rId6" w:history="1">
        <w:r w:rsidRPr="000C526E">
          <w:rPr>
            <w:rStyle w:val="Collegamentoipertestuale"/>
            <w:bCs/>
            <w:sz w:val="32"/>
            <w:szCs w:val="32"/>
          </w:rPr>
          <w:t>1883-</w:t>
        </w:r>
        <w:r w:rsidRPr="000C526E">
          <w:rPr>
            <w:rStyle w:val="Collegamentoipertestuale"/>
            <w:bCs/>
            <w:sz w:val="32"/>
            <w:szCs w:val="32"/>
          </w:rPr>
          <w:t>1887; 1889-</w:t>
        </w:r>
        <w:r w:rsidRPr="000C526E">
          <w:rPr>
            <w:rStyle w:val="Collegamentoipertestuale"/>
            <w:bCs/>
            <w:sz w:val="32"/>
            <w:szCs w:val="32"/>
          </w:rPr>
          <w:t>1896</w:t>
        </w:r>
      </w:hyperlink>
      <w:r w:rsidRPr="000C526E">
        <w:rPr>
          <w:sz w:val="32"/>
          <w:szCs w:val="32"/>
        </w:rPr>
        <w:t xml:space="preserve">; </w:t>
      </w:r>
      <w:hyperlink r:id="rId7" w:anchor="v=onepage&amp;q&amp;f=false" w:history="1">
        <w:r w:rsidRPr="000C526E">
          <w:rPr>
            <w:rStyle w:val="Collegamentoipertestuale"/>
            <w:sz w:val="32"/>
            <w:szCs w:val="32"/>
          </w:rPr>
          <w:t>16(1883)</w:t>
        </w:r>
      </w:hyperlink>
    </w:p>
    <w:p w14:paraId="421A3F3D" w14:textId="77777777" w:rsidR="000C526E" w:rsidRDefault="000C526E"/>
    <w:sectPr w:rsidR="000C52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6FEB"/>
    <w:rsid w:val="000C526E"/>
    <w:rsid w:val="0031062F"/>
    <w:rsid w:val="003605E3"/>
    <w:rsid w:val="00375F4B"/>
    <w:rsid w:val="003811E4"/>
    <w:rsid w:val="0062075A"/>
    <w:rsid w:val="00653982"/>
    <w:rsid w:val="00856FEB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96F7"/>
  <w15:chartTrackingRefBased/>
  <w15:docId w15:val="{50687365-17F3-447E-9CCB-E3CFE6CC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56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6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6F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6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6F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6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6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6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6F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6F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6F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6F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6F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6F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6F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F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6F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6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6F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6F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6F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6F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6F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6F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6F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6FE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C52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5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oks.google.it/books?id=3wDX_J2a0lYC&amp;printsec=frontcover&amp;hl=it&amp;source=gbs_ge_summary_r&amp;ca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gitale.bnc.roma.sbn.it/tecadigitale/emeroteca/classic/TO0017889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Company>HP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2026-09-13T04:23:00Z</dcterms:created>
  <dcterms:modified xsi:type="dcterms:W3CDTF">2026-09-13T04:30:00Z</dcterms:modified>
</cp:coreProperties>
</file>