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9E57D" w14:textId="7517EEB7" w:rsidR="00C80E45" w:rsidRPr="00C0384F" w:rsidRDefault="00C80E45" w:rsidP="00FF6FF8">
      <w:pPr>
        <w:spacing w:after="0" w:line="240" w:lineRule="auto"/>
        <w:jc w:val="both"/>
        <w:rPr>
          <w:rFonts w:cstheme="minorHAnsi"/>
          <w:i/>
          <w:sz w:val="16"/>
          <w:szCs w:val="16"/>
        </w:rPr>
      </w:pPr>
      <w:bookmarkStart w:id="0" w:name="_Hlk216537409"/>
      <w:bookmarkStart w:id="1" w:name="_Hlk216590573"/>
      <w:r w:rsidRPr="00C0384F">
        <w:rPr>
          <w:rFonts w:cstheme="minorHAnsi"/>
          <w:b/>
          <w:color w:val="C00000"/>
          <w:sz w:val="44"/>
          <w:szCs w:val="44"/>
        </w:rPr>
        <w:t>CE5</w:t>
      </w:r>
      <w:r>
        <w:rPr>
          <w:rFonts w:cstheme="minorHAnsi"/>
          <w:b/>
          <w:color w:val="C00000"/>
          <w:sz w:val="44"/>
          <w:szCs w:val="44"/>
        </w:rPr>
        <w:t>1</w:t>
      </w:r>
      <w:r w:rsidRPr="00C0384F">
        <w:rPr>
          <w:rFonts w:cstheme="minorHAnsi"/>
          <w:b/>
        </w:rPr>
        <w:t xml:space="preserve"> </w:t>
      </w:r>
      <w:r w:rsidRPr="00C0384F">
        <w:rPr>
          <w:rFonts w:cstheme="minorHAnsi"/>
          <w:b/>
        </w:rPr>
        <w:tab/>
      </w:r>
      <w:r w:rsidRPr="00C0384F">
        <w:rPr>
          <w:rFonts w:cstheme="minorHAnsi"/>
          <w:b/>
        </w:rPr>
        <w:tab/>
      </w:r>
      <w:r w:rsidRPr="00C0384F">
        <w:rPr>
          <w:rFonts w:cstheme="minorHAnsi"/>
          <w:b/>
        </w:rPr>
        <w:tab/>
      </w:r>
      <w:r w:rsidRPr="00C0384F">
        <w:rPr>
          <w:rFonts w:cstheme="minorHAnsi"/>
          <w:b/>
        </w:rPr>
        <w:tab/>
      </w:r>
      <w:r w:rsidRPr="00C0384F">
        <w:rPr>
          <w:rFonts w:cstheme="minorHAnsi"/>
          <w:b/>
        </w:rPr>
        <w:tab/>
      </w:r>
      <w:r w:rsidRPr="00C0384F">
        <w:rPr>
          <w:rFonts w:cstheme="minorHAnsi"/>
          <w:b/>
        </w:rPr>
        <w:tab/>
      </w:r>
      <w:r w:rsidRPr="00C0384F">
        <w:rPr>
          <w:rFonts w:cstheme="minorHAnsi"/>
          <w:b/>
        </w:rPr>
        <w:tab/>
      </w:r>
      <w:r w:rsidRPr="00C0384F">
        <w:rPr>
          <w:rFonts w:cstheme="minorHAnsi"/>
          <w:b/>
        </w:rPr>
        <w:tab/>
      </w:r>
      <w:r w:rsidRPr="00C0384F">
        <w:rPr>
          <w:rFonts w:cstheme="minorHAnsi"/>
          <w:b/>
        </w:rPr>
        <w:tab/>
      </w:r>
      <w:r w:rsidRPr="00C0384F">
        <w:rPr>
          <w:rFonts w:cstheme="minorHAnsi"/>
          <w:i/>
          <w:sz w:val="16"/>
          <w:szCs w:val="16"/>
        </w:rPr>
        <w:t xml:space="preserve">Scheda creata il </w:t>
      </w:r>
      <w:r>
        <w:rPr>
          <w:rFonts w:cstheme="minorHAnsi"/>
          <w:i/>
          <w:sz w:val="16"/>
          <w:szCs w:val="16"/>
        </w:rPr>
        <w:t>11 febbraio</w:t>
      </w:r>
      <w:r>
        <w:rPr>
          <w:rFonts w:cstheme="minorHAnsi"/>
          <w:i/>
          <w:sz w:val="16"/>
          <w:szCs w:val="16"/>
        </w:rPr>
        <w:t xml:space="preserve"> 202</w:t>
      </w:r>
      <w:r>
        <w:rPr>
          <w:rFonts w:cstheme="minorHAnsi"/>
          <w:i/>
          <w:sz w:val="16"/>
          <w:szCs w:val="16"/>
        </w:rPr>
        <w:t>6</w:t>
      </w:r>
    </w:p>
    <w:p w14:paraId="75C88730" w14:textId="3E0F1C61" w:rsidR="00C80E45" w:rsidRDefault="005F0258" w:rsidP="00FF6FF8">
      <w:pPr>
        <w:spacing w:after="0" w:line="240" w:lineRule="auto"/>
        <w:jc w:val="center"/>
        <w:rPr>
          <w:rFonts w:cstheme="minorHAnsi"/>
          <w:b/>
          <w:color w:val="C00000"/>
          <w:sz w:val="44"/>
          <w:szCs w:val="44"/>
        </w:rPr>
      </w:pPr>
      <w:bookmarkStart w:id="2" w:name="_Hlk216537398"/>
      <w:bookmarkEnd w:id="0"/>
      <w:r>
        <w:rPr>
          <w:noProof/>
        </w:rPr>
        <w:drawing>
          <wp:inline distT="0" distB="0" distL="0" distR="0" wp14:anchorId="092576DC" wp14:editId="4CC87B2E">
            <wp:extent cx="1281600" cy="1800000"/>
            <wp:effectExtent l="0" t="0" r="0" b="0"/>
            <wp:docPr id="174972792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1600" cy="1800000"/>
                    </a:xfrm>
                    <a:prstGeom prst="rect">
                      <a:avLst/>
                    </a:prstGeom>
                    <a:noFill/>
                  </pic:spPr>
                </pic:pic>
              </a:graphicData>
            </a:graphic>
          </wp:inline>
        </w:drawing>
      </w:r>
      <w:r w:rsidR="00C80E45">
        <w:rPr>
          <w:rFonts w:cstheme="minorHAnsi"/>
          <w:b/>
          <w:noProof/>
          <w:color w:val="C00000"/>
          <w:sz w:val="44"/>
          <w:szCs w:val="44"/>
        </w:rPr>
        <w:drawing>
          <wp:inline distT="0" distB="0" distL="0" distR="0" wp14:anchorId="7DD02B56" wp14:editId="4226278F">
            <wp:extent cx="1242000" cy="1800000"/>
            <wp:effectExtent l="0" t="0" r="0" b="0"/>
            <wp:docPr id="16925494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49425" name="Immagin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2000" cy="1800000"/>
                    </a:xfrm>
                    <a:prstGeom prst="rect">
                      <a:avLst/>
                    </a:prstGeom>
                    <a:noFill/>
                  </pic:spPr>
                </pic:pic>
              </a:graphicData>
            </a:graphic>
          </wp:inline>
        </w:drawing>
      </w:r>
      <w:r w:rsidR="00C80E45" w:rsidRPr="00C80E45">
        <w:rPr>
          <w:rFonts w:cstheme="minorHAnsi"/>
          <w:b/>
          <w:color w:val="C00000"/>
          <w:sz w:val="44"/>
          <w:szCs w:val="44"/>
        </w:rPr>
        <w:drawing>
          <wp:inline distT="0" distB="0" distL="0" distR="0" wp14:anchorId="61AA1ADE" wp14:editId="2EEE3501">
            <wp:extent cx="1270800" cy="1800000"/>
            <wp:effectExtent l="0" t="0" r="5715" b="0"/>
            <wp:docPr id="1009925094" name="Immagine 1" descr="Immagine che contiene testo, giornale, Pubblicazione, docume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25094" name="Immagine 1" descr="Immagine che contiene testo, giornale, Pubblicazione, documento&#10;&#10;Il contenuto generato dall'IA potrebbe non essere corretto."/>
                    <pic:cNvPicPr/>
                  </pic:nvPicPr>
                  <pic:blipFill>
                    <a:blip r:embed="rId7"/>
                    <a:stretch>
                      <a:fillRect/>
                    </a:stretch>
                  </pic:blipFill>
                  <pic:spPr>
                    <a:xfrm>
                      <a:off x="0" y="0"/>
                      <a:ext cx="1270800" cy="1800000"/>
                    </a:xfrm>
                    <a:prstGeom prst="rect">
                      <a:avLst/>
                    </a:prstGeom>
                  </pic:spPr>
                </pic:pic>
              </a:graphicData>
            </a:graphic>
          </wp:inline>
        </w:drawing>
      </w:r>
      <w:r>
        <w:rPr>
          <w:rFonts w:cstheme="minorHAnsi"/>
          <w:b/>
          <w:noProof/>
          <w:color w:val="C00000"/>
          <w:sz w:val="44"/>
          <w:szCs w:val="44"/>
        </w:rPr>
        <w:drawing>
          <wp:inline distT="0" distB="0" distL="0" distR="0" wp14:anchorId="58532D92" wp14:editId="153C3767">
            <wp:extent cx="1231200" cy="1800000"/>
            <wp:effectExtent l="0" t="0" r="7620" b="0"/>
            <wp:docPr id="85228583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1200" cy="1800000"/>
                    </a:xfrm>
                    <a:prstGeom prst="rect">
                      <a:avLst/>
                    </a:prstGeom>
                    <a:noFill/>
                  </pic:spPr>
                </pic:pic>
              </a:graphicData>
            </a:graphic>
          </wp:inline>
        </w:drawing>
      </w:r>
      <w:r w:rsidR="00C80E45" w:rsidRPr="00C80E45">
        <w:rPr>
          <w:rFonts w:cstheme="minorHAnsi"/>
          <w:b/>
          <w:color w:val="C00000"/>
          <w:sz w:val="44"/>
          <w:szCs w:val="44"/>
        </w:rPr>
        <w:drawing>
          <wp:inline distT="0" distB="0" distL="0" distR="0" wp14:anchorId="47EC07D4" wp14:editId="4ABE2675">
            <wp:extent cx="1479600" cy="2160000"/>
            <wp:effectExtent l="0" t="0" r="6350" b="0"/>
            <wp:docPr id="1222566603" name="Immagine 1" descr="Immagine che contiene testo, libro, carta, Stamp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66603" name="Immagine 1" descr="Immagine che contiene testo, libro, carta, Stampa&#10;&#10;Il contenuto generato dall'IA potrebbe non essere corretto."/>
                    <pic:cNvPicPr/>
                  </pic:nvPicPr>
                  <pic:blipFill>
                    <a:blip r:embed="rId9"/>
                    <a:stretch>
                      <a:fillRect/>
                    </a:stretch>
                  </pic:blipFill>
                  <pic:spPr>
                    <a:xfrm>
                      <a:off x="0" y="0"/>
                      <a:ext cx="1479600" cy="2160000"/>
                    </a:xfrm>
                    <a:prstGeom prst="rect">
                      <a:avLst/>
                    </a:prstGeom>
                  </pic:spPr>
                </pic:pic>
              </a:graphicData>
            </a:graphic>
          </wp:inline>
        </w:drawing>
      </w:r>
      <w:r w:rsidR="00C80E45">
        <w:rPr>
          <w:rFonts w:cstheme="minorHAnsi"/>
          <w:b/>
          <w:noProof/>
          <w:color w:val="C00000"/>
          <w:sz w:val="44"/>
          <w:szCs w:val="44"/>
        </w:rPr>
        <w:drawing>
          <wp:inline distT="0" distB="0" distL="0" distR="0" wp14:anchorId="48B875B2" wp14:editId="1BC5FB09">
            <wp:extent cx="1548000" cy="2160000"/>
            <wp:effectExtent l="0" t="0" r="0" b="0"/>
            <wp:docPr id="128011387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8000" cy="2160000"/>
                    </a:xfrm>
                    <a:prstGeom prst="rect">
                      <a:avLst/>
                    </a:prstGeom>
                    <a:noFill/>
                  </pic:spPr>
                </pic:pic>
              </a:graphicData>
            </a:graphic>
          </wp:inline>
        </w:drawing>
      </w:r>
      <w:r>
        <w:rPr>
          <w:rFonts w:cstheme="minorHAnsi"/>
          <w:b/>
          <w:noProof/>
          <w:color w:val="C00000"/>
          <w:sz w:val="44"/>
          <w:szCs w:val="44"/>
        </w:rPr>
        <w:drawing>
          <wp:inline distT="0" distB="0" distL="0" distR="0" wp14:anchorId="27F20B30" wp14:editId="70161F91">
            <wp:extent cx="1324800" cy="1800000"/>
            <wp:effectExtent l="0" t="0" r="8890" b="0"/>
            <wp:docPr id="161442138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4800" cy="1800000"/>
                    </a:xfrm>
                    <a:prstGeom prst="rect">
                      <a:avLst/>
                    </a:prstGeom>
                    <a:noFill/>
                  </pic:spPr>
                </pic:pic>
              </a:graphicData>
            </a:graphic>
          </wp:inline>
        </w:drawing>
      </w:r>
    </w:p>
    <w:p w14:paraId="6AD5B277" w14:textId="56437ABD" w:rsidR="00C80E45" w:rsidRPr="00C0384F" w:rsidRDefault="00C80E45" w:rsidP="00FF6FF8">
      <w:pPr>
        <w:spacing w:after="0" w:line="240" w:lineRule="auto"/>
        <w:jc w:val="both"/>
        <w:rPr>
          <w:rFonts w:cstheme="minorHAnsi"/>
          <w:b/>
          <w:color w:val="C00000"/>
          <w:sz w:val="44"/>
          <w:szCs w:val="44"/>
        </w:rPr>
      </w:pPr>
      <w:r w:rsidRPr="00C0384F">
        <w:rPr>
          <w:rFonts w:cstheme="minorHAnsi"/>
          <w:b/>
          <w:color w:val="C00000"/>
          <w:sz w:val="44"/>
          <w:szCs w:val="44"/>
        </w:rPr>
        <w:t xml:space="preserve">Descrizione bibliografica </w:t>
      </w:r>
    </w:p>
    <w:bookmarkEnd w:id="1"/>
    <w:bookmarkEnd w:id="2"/>
    <w:p w14:paraId="0A14F771" w14:textId="7D035D39" w:rsidR="00C80E45" w:rsidRPr="00200AE3" w:rsidRDefault="00C80E45" w:rsidP="00FF6FF8">
      <w:pPr>
        <w:spacing w:after="0" w:line="240" w:lineRule="auto"/>
        <w:jc w:val="both"/>
        <w:rPr>
          <w:sz w:val="32"/>
          <w:szCs w:val="32"/>
        </w:rPr>
      </w:pPr>
      <w:r w:rsidRPr="00C80E45">
        <w:rPr>
          <w:b/>
          <w:sz w:val="32"/>
          <w:szCs w:val="32"/>
        </w:rPr>
        <w:t>*Bullettino della Commissione di antichità e belle arti in Sicilia</w:t>
      </w:r>
      <w:r w:rsidRPr="00C80E45">
        <w:rPr>
          <w:sz w:val="32"/>
          <w:szCs w:val="32"/>
        </w:rPr>
        <w:t>. - N. 1 (</w:t>
      </w:r>
      <w:proofErr w:type="gramStart"/>
      <w:r w:rsidRPr="00C80E45">
        <w:rPr>
          <w:sz w:val="32"/>
          <w:szCs w:val="32"/>
        </w:rPr>
        <w:t>1864)-</w:t>
      </w:r>
      <w:proofErr w:type="gramEnd"/>
      <w:r w:rsidRPr="00C80E45">
        <w:rPr>
          <w:sz w:val="32"/>
          <w:szCs w:val="32"/>
        </w:rPr>
        <w:t xml:space="preserve">n. 8 (1875). - </w:t>
      </w:r>
      <w:proofErr w:type="gramStart"/>
      <w:r w:rsidRPr="00C80E45">
        <w:rPr>
          <w:sz w:val="32"/>
          <w:szCs w:val="32"/>
        </w:rPr>
        <w:t>Palermo :</w:t>
      </w:r>
      <w:proofErr w:type="gramEnd"/>
      <w:r w:rsidRPr="00C80E45">
        <w:rPr>
          <w:sz w:val="32"/>
          <w:szCs w:val="32"/>
        </w:rPr>
        <w:t xml:space="preserve"> Tipografia del Giornale di Sicilia, 1864-1875. – 8 volumi. </w:t>
      </w:r>
      <w:r w:rsidR="00200AE3">
        <w:rPr>
          <w:sz w:val="32"/>
          <w:szCs w:val="32"/>
        </w:rPr>
        <w:t>((Annuale irregolare. –</w:t>
      </w:r>
      <w:r w:rsidRPr="00C80E45">
        <w:rPr>
          <w:sz w:val="32"/>
          <w:szCs w:val="32"/>
        </w:rPr>
        <w:t xml:space="preserve"> </w:t>
      </w:r>
      <w:r w:rsidR="00200AE3">
        <w:rPr>
          <w:sz w:val="32"/>
          <w:szCs w:val="32"/>
        </w:rPr>
        <w:t xml:space="preserve">Non pubblicato: 1865-1866, 1868-1870. - </w:t>
      </w:r>
      <w:r w:rsidRPr="00C80E45">
        <w:rPr>
          <w:sz w:val="32"/>
          <w:szCs w:val="32"/>
        </w:rPr>
        <w:t>PAL0085844</w:t>
      </w:r>
    </w:p>
    <w:p w14:paraId="089CDC48" w14:textId="7426AF44" w:rsidR="00200AE3" w:rsidRPr="00200AE3" w:rsidRDefault="00200AE3" w:rsidP="00FF6FF8">
      <w:pPr>
        <w:spacing w:after="0" w:line="240" w:lineRule="auto"/>
        <w:jc w:val="both"/>
        <w:rPr>
          <w:sz w:val="32"/>
          <w:szCs w:val="32"/>
        </w:rPr>
      </w:pPr>
      <w:r w:rsidRPr="00200AE3">
        <w:rPr>
          <w:sz w:val="32"/>
          <w:szCs w:val="32"/>
        </w:rPr>
        <w:t xml:space="preserve">Autore: </w:t>
      </w:r>
      <w:r w:rsidRPr="00200AE3">
        <w:rPr>
          <w:sz w:val="32"/>
          <w:szCs w:val="32"/>
        </w:rPr>
        <w:t>Commissione di antichit</w:t>
      </w:r>
      <w:r w:rsidRPr="00200AE3">
        <w:rPr>
          <w:sz w:val="32"/>
          <w:szCs w:val="32"/>
        </w:rPr>
        <w:t>à</w:t>
      </w:r>
      <w:r w:rsidRPr="00200AE3">
        <w:rPr>
          <w:sz w:val="32"/>
          <w:szCs w:val="32"/>
        </w:rPr>
        <w:t xml:space="preserve"> e belle arti di Sicilia</w:t>
      </w:r>
    </w:p>
    <w:p w14:paraId="28F754E3" w14:textId="6709485D" w:rsidR="005F0258" w:rsidRPr="00200AE3" w:rsidRDefault="005F0258" w:rsidP="00FF6FF8">
      <w:pPr>
        <w:spacing w:after="0" w:line="240" w:lineRule="auto"/>
        <w:jc w:val="both"/>
        <w:rPr>
          <w:sz w:val="32"/>
          <w:szCs w:val="32"/>
        </w:rPr>
      </w:pPr>
      <w:r w:rsidRPr="00200AE3">
        <w:rPr>
          <w:sz w:val="32"/>
          <w:szCs w:val="32"/>
        </w:rPr>
        <w:t>Soggetto: Antichità – Sicilia – 1864-1875</w:t>
      </w:r>
      <w:r w:rsidR="00FF6FF8" w:rsidRPr="00200AE3">
        <w:rPr>
          <w:sz w:val="32"/>
          <w:szCs w:val="32"/>
        </w:rPr>
        <w:t>; Archeologia</w:t>
      </w:r>
      <w:r w:rsidR="00FF6FF8" w:rsidRPr="00200AE3">
        <w:rPr>
          <w:sz w:val="32"/>
          <w:szCs w:val="32"/>
        </w:rPr>
        <w:t xml:space="preserve"> – Sicilia – 1864-1875;</w:t>
      </w:r>
      <w:r w:rsidR="00FF6FF8" w:rsidRPr="00200AE3">
        <w:rPr>
          <w:sz w:val="32"/>
          <w:szCs w:val="32"/>
        </w:rPr>
        <w:t xml:space="preserve"> </w:t>
      </w:r>
      <w:r w:rsidR="00FF6FF8" w:rsidRPr="00200AE3">
        <w:rPr>
          <w:sz w:val="32"/>
          <w:szCs w:val="32"/>
        </w:rPr>
        <w:t xml:space="preserve">Beni culturali - Tutela [e] Valorizzazione </w:t>
      </w:r>
      <w:r w:rsidR="00FF6FF8" w:rsidRPr="00200AE3">
        <w:rPr>
          <w:sz w:val="32"/>
          <w:szCs w:val="32"/>
        </w:rPr>
        <w:t>–</w:t>
      </w:r>
      <w:r w:rsidR="00FF6FF8" w:rsidRPr="00200AE3">
        <w:rPr>
          <w:sz w:val="32"/>
          <w:szCs w:val="32"/>
        </w:rPr>
        <w:t xml:space="preserve"> Sicilia</w:t>
      </w:r>
      <w:r w:rsidR="00FF6FF8" w:rsidRPr="00200AE3">
        <w:rPr>
          <w:sz w:val="32"/>
          <w:szCs w:val="32"/>
        </w:rPr>
        <w:t xml:space="preserve"> – 1864-1875; </w:t>
      </w:r>
      <w:r w:rsidR="00FF6FF8" w:rsidRPr="00200AE3">
        <w:rPr>
          <w:sz w:val="32"/>
          <w:szCs w:val="32"/>
        </w:rPr>
        <w:t xml:space="preserve">Monumenti </w:t>
      </w:r>
      <w:r w:rsidR="00FF6FF8" w:rsidRPr="00200AE3">
        <w:rPr>
          <w:sz w:val="32"/>
          <w:szCs w:val="32"/>
        </w:rPr>
        <w:t>–</w:t>
      </w:r>
      <w:r w:rsidR="00FF6FF8" w:rsidRPr="00200AE3">
        <w:rPr>
          <w:sz w:val="32"/>
          <w:szCs w:val="32"/>
        </w:rPr>
        <w:t xml:space="preserve"> Sicilia</w:t>
      </w:r>
      <w:r w:rsidR="00FF6FF8" w:rsidRPr="00200AE3">
        <w:rPr>
          <w:sz w:val="32"/>
          <w:szCs w:val="32"/>
        </w:rPr>
        <w:t xml:space="preserve"> – 1864-1875</w:t>
      </w:r>
    </w:p>
    <w:p w14:paraId="22CA9EAA" w14:textId="62051877" w:rsidR="00C80E45" w:rsidRPr="00200AE3" w:rsidRDefault="00C80E45" w:rsidP="00FF6FF8">
      <w:pPr>
        <w:spacing w:after="0" w:line="240" w:lineRule="auto"/>
        <w:jc w:val="both"/>
        <w:rPr>
          <w:sz w:val="32"/>
          <w:szCs w:val="32"/>
        </w:rPr>
      </w:pPr>
      <w:r w:rsidRPr="00200AE3">
        <w:rPr>
          <w:b/>
          <w:bCs/>
          <w:color w:val="C00000"/>
          <w:sz w:val="32"/>
          <w:szCs w:val="32"/>
        </w:rPr>
        <w:t>Copia digitale</w:t>
      </w:r>
      <w:r w:rsidRPr="00200AE3">
        <w:rPr>
          <w:sz w:val="32"/>
          <w:szCs w:val="32"/>
        </w:rPr>
        <w:t>:</w:t>
      </w:r>
      <w:r w:rsidR="005F0258" w:rsidRPr="00200AE3">
        <w:rPr>
          <w:sz w:val="32"/>
          <w:szCs w:val="32"/>
        </w:rPr>
        <w:t xml:space="preserve"> </w:t>
      </w:r>
      <w:hyperlink r:id="rId12" w:history="1">
        <w:r w:rsidR="005F0258" w:rsidRPr="00200AE3">
          <w:rPr>
            <w:rStyle w:val="Collegamentoipertestuale"/>
            <w:sz w:val="32"/>
            <w:szCs w:val="32"/>
          </w:rPr>
          <w:t>1(1864)-5(1872)</w:t>
        </w:r>
      </w:hyperlink>
      <w:r w:rsidR="005F0258" w:rsidRPr="00200AE3">
        <w:rPr>
          <w:sz w:val="32"/>
          <w:szCs w:val="32"/>
        </w:rPr>
        <w:t>;</w:t>
      </w:r>
      <w:r w:rsidRPr="00200AE3">
        <w:rPr>
          <w:sz w:val="32"/>
          <w:szCs w:val="32"/>
        </w:rPr>
        <w:t xml:space="preserve"> </w:t>
      </w:r>
      <w:hyperlink r:id="rId13" w:history="1">
        <w:r w:rsidRPr="00200AE3">
          <w:rPr>
            <w:rStyle w:val="Collegamentoipertestuale"/>
            <w:sz w:val="32"/>
            <w:szCs w:val="32"/>
          </w:rPr>
          <w:t>1(1864)</w:t>
        </w:r>
      </w:hyperlink>
      <w:r w:rsidRPr="00200AE3">
        <w:rPr>
          <w:sz w:val="32"/>
          <w:szCs w:val="32"/>
        </w:rPr>
        <w:t>;</w:t>
      </w:r>
      <w:r w:rsidR="005F0258" w:rsidRPr="00200AE3">
        <w:rPr>
          <w:sz w:val="32"/>
          <w:szCs w:val="32"/>
        </w:rPr>
        <w:t xml:space="preserve"> </w:t>
      </w:r>
      <w:hyperlink r:id="rId14" w:history="1">
        <w:r w:rsidR="005F0258" w:rsidRPr="00200AE3">
          <w:rPr>
            <w:rStyle w:val="Collegamentoipertestuale"/>
            <w:sz w:val="32"/>
            <w:szCs w:val="32"/>
          </w:rPr>
          <w:t>1(1864)</w:t>
        </w:r>
      </w:hyperlink>
      <w:r w:rsidR="005F0258" w:rsidRPr="00200AE3">
        <w:rPr>
          <w:sz w:val="32"/>
          <w:szCs w:val="32"/>
        </w:rPr>
        <w:t>;</w:t>
      </w:r>
      <w:r w:rsidRPr="00200AE3">
        <w:rPr>
          <w:sz w:val="32"/>
          <w:szCs w:val="32"/>
        </w:rPr>
        <w:t xml:space="preserve"> </w:t>
      </w:r>
      <w:hyperlink r:id="rId15" w:history="1">
        <w:r w:rsidRPr="00200AE3">
          <w:rPr>
            <w:rStyle w:val="Collegamentoipertestuale"/>
            <w:sz w:val="32"/>
            <w:szCs w:val="32"/>
          </w:rPr>
          <w:t>n.2(1864)</w:t>
        </w:r>
      </w:hyperlink>
      <w:r w:rsidRPr="00200AE3">
        <w:rPr>
          <w:sz w:val="32"/>
          <w:szCs w:val="32"/>
        </w:rPr>
        <w:t>;</w:t>
      </w:r>
      <w:r w:rsidR="005F0258" w:rsidRPr="00200AE3">
        <w:rPr>
          <w:sz w:val="32"/>
          <w:szCs w:val="32"/>
        </w:rPr>
        <w:t xml:space="preserve"> </w:t>
      </w:r>
      <w:hyperlink r:id="rId16" w:history="1">
        <w:r w:rsidR="005F0258" w:rsidRPr="00200AE3">
          <w:rPr>
            <w:rStyle w:val="Collegamentoipertestuale"/>
            <w:sz w:val="32"/>
            <w:szCs w:val="32"/>
          </w:rPr>
          <w:t>n.3(1867)</w:t>
        </w:r>
      </w:hyperlink>
      <w:r w:rsidR="005F0258" w:rsidRPr="00200AE3">
        <w:rPr>
          <w:sz w:val="32"/>
          <w:szCs w:val="32"/>
        </w:rPr>
        <w:t xml:space="preserve">; </w:t>
      </w:r>
      <w:hyperlink r:id="rId17" w:history="1">
        <w:r w:rsidR="005F0258" w:rsidRPr="00200AE3">
          <w:rPr>
            <w:rStyle w:val="Collegamentoipertestuale"/>
            <w:sz w:val="32"/>
            <w:szCs w:val="32"/>
          </w:rPr>
          <w:t>3(1867)</w:t>
        </w:r>
      </w:hyperlink>
      <w:r w:rsidR="005F0258" w:rsidRPr="00200AE3">
        <w:rPr>
          <w:sz w:val="32"/>
          <w:szCs w:val="32"/>
        </w:rPr>
        <w:t>;</w:t>
      </w:r>
      <w:r w:rsidRPr="00200AE3">
        <w:rPr>
          <w:sz w:val="32"/>
          <w:szCs w:val="32"/>
        </w:rPr>
        <w:t xml:space="preserve"> </w:t>
      </w:r>
      <w:hyperlink r:id="rId18" w:history="1">
        <w:r w:rsidRPr="00200AE3">
          <w:rPr>
            <w:rStyle w:val="Collegamentoipertestuale"/>
            <w:sz w:val="32"/>
            <w:szCs w:val="32"/>
          </w:rPr>
          <w:t>n.4(1871)</w:t>
        </w:r>
      </w:hyperlink>
      <w:r w:rsidRPr="00200AE3">
        <w:rPr>
          <w:sz w:val="32"/>
          <w:szCs w:val="32"/>
        </w:rPr>
        <w:t xml:space="preserve">; </w:t>
      </w:r>
      <w:hyperlink r:id="rId19" w:anchor="v=onepage&amp;q&amp;f=false" w:history="1">
        <w:r w:rsidRPr="00200AE3">
          <w:rPr>
            <w:rStyle w:val="Collegamentoipertestuale"/>
            <w:sz w:val="32"/>
            <w:szCs w:val="32"/>
          </w:rPr>
          <w:t>n.4(1871)</w:t>
        </w:r>
      </w:hyperlink>
      <w:r w:rsidRPr="00200AE3">
        <w:rPr>
          <w:sz w:val="32"/>
          <w:szCs w:val="32"/>
        </w:rPr>
        <w:t xml:space="preserve">; </w:t>
      </w:r>
      <w:hyperlink r:id="rId20" w:history="1">
        <w:r w:rsidRPr="00200AE3">
          <w:rPr>
            <w:rStyle w:val="Collegamentoipertestuale"/>
            <w:sz w:val="32"/>
            <w:szCs w:val="32"/>
          </w:rPr>
          <w:t>n.5(1872)</w:t>
        </w:r>
      </w:hyperlink>
    </w:p>
    <w:p w14:paraId="43D63362" w14:textId="77777777" w:rsidR="00FF6FF8" w:rsidRDefault="00FF6FF8" w:rsidP="00FF6FF8">
      <w:pPr>
        <w:spacing w:after="0" w:line="240" w:lineRule="auto"/>
        <w:jc w:val="both"/>
      </w:pPr>
    </w:p>
    <w:p w14:paraId="45472452" w14:textId="108B3645" w:rsidR="00AA1F1E" w:rsidRDefault="00AA1F1E" w:rsidP="00FF6FF8">
      <w:pPr>
        <w:spacing w:after="0" w:line="240" w:lineRule="auto"/>
        <w:jc w:val="both"/>
        <w:rPr>
          <w:b/>
          <w:bCs/>
          <w:color w:val="C00000"/>
          <w:sz w:val="44"/>
          <w:szCs w:val="44"/>
        </w:rPr>
      </w:pPr>
      <w:r>
        <w:rPr>
          <w:b/>
          <w:bCs/>
          <w:color w:val="C00000"/>
          <w:sz w:val="44"/>
          <w:szCs w:val="44"/>
        </w:rPr>
        <w:t>Informazioni storico-bibliografiche</w:t>
      </w:r>
    </w:p>
    <w:p w14:paraId="6A56031E" w14:textId="7EE2C9EE" w:rsidR="00AA1F1E" w:rsidRPr="00200AE3" w:rsidRDefault="00AA1F1E" w:rsidP="00FF6FF8">
      <w:pPr>
        <w:spacing w:after="0" w:line="240" w:lineRule="auto"/>
        <w:jc w:val="both"/>
        <w:rPr>
          <w:sz w:val="32"/>
          <w:szCs w:val="32"/>
        </w:rPr>
      </w:pPr>
      <w:r w:rsidRPr="00200AE3">
        <w:rPr>
          <w:sz w:val="32"/>
          <w:szCs w:val="32"/>
        </w:rPr>
        <w:t xml:space="preserve">Già durante la spedizione dei Mille, un decreto di Garibaldi stabilì che la Commissione di antichità e Belle Arti, istituita in Sicilia nel 1827, continuasse a svolgere le sue numerose funzioni, mantenendo sostanzialmente caratteristiche e attribuzioni del periodo borbonico. Riformata dal ministro Amari nel 1863, la Commissione rimane in </w:t>
      </w:r>
      <w:r w:rsidRPr="00200AE3">
        <w:rPr>
          <w:sz w:val="32"/>
          <w:szCs w:val="32"/>
        </w:rPr>
        <w:lastRenderedPageBreak/>
        <w:t>attività fino al 1875, anno in cui è soppressa nell’ambito della riforma ministeriale che ridisegna radicalmente – e uniforma a livello nazionale – l’amministrazione delle Antichità e Belle arti. La Commissione si riunisce regolarmente e coordina numerose attività in tutta l’Isola, pubblicando anche un suo Bullettino ricco di importanti contributi scientifici. La riforma voluta da Amari istituisce, tra l’altro, il Direttore delle antichità, una figura tecnica alle dipendenze della Commissione, con il ruolo di dirigere gli scavi archeologici e di compiere ispezioni dei monumenti antichi in tutta l’isola, proponendo eventuali restauri. Non mancano, naturalmente, le difficoltà, rivelate in particolare dai carteggi privati di Francesco Saverio Cavallari, Direttore delle antichità, e di Antonino Salinas, membro della Commissione e direttore del Museo di Palermo, con Michele Amari. La Commissione siciliana appare comunque come un importante esempio di organismo che, tra continuità e rinnovamento, perpetua nel giovane stato unitario una delle più compiute esperienze preunitarie nell’ambito della tutela.</w:t>
      </w:r>
      <w:r w:rsidRPr="00200AE3">
        <w:rPr>
          <w:sz w:val="32"/>
          <w:szCs w:val="32"/>
        </w:rPr>
        <w:t xml:space="preserve"> </w:t>
      </w:r>
      <w:r w:rsidRPr="00200AE3">
        <w:rPr>
          <w:i/>
          <w:iCs/>
          <w:sz w:val="32"/>
          <w:szCs w:val="32"/>
        </w:rPr>
        <w:t>Muscolino</w:t>
      </w:r>
    </w:p>
    <w:p w14:paraId="32BD26C5" w14:textId="77777777" w:rsidR="00AA1F1E" w:rsidRPr="00AA1F1E" w:rsidRDefault="00AA1F1E" w:rsidP="00FF6FF8">
      <w:pPr>
        <w:spacing w:after="0" w:line="240" w:lineRule="auto"/>
        <w:jc w:val="both"/>
      </w:pPr>
    </w:p>
    <w:p w14:paraId="68945E67" w14:textId="1BC73BA0" w:rsidR="00C80E45" w:rsidRPr="00662226" w:rsidRDefault="00C80E45" w:rsidP="00FF6FF8">
      <w:pPr>
        <w:spacing w:after="0" w:line="240" w:lineRule="auto"/>
        <w:jc w:val="both"/>
        <w:rPr>
          <w:b/>
          <w:bCs/>
          <w:color w:val="C00000"/>
          <w:sz w:val="44"/>
          <w:szCs w:val="44"/>
        </w:rPr>
      </w:pPr>
      <w:r w:rsidRPr="00662226">
        <w:rPr>
          <w:b/>
          <w:bCs/>
          <w:color w:val="C00000"/>
          <w:sz w:val="44"/>
          <w:szCs w:val="44"/>
        </w:rPr>
        <w:t>Note e riferimenti bibliografici</w:t>
      </w:r>
    </w:p>
    <w:p w14:paraId="12826AAB" w14:textId="6D9CB204" w:rsidR="00FF6FF8" w:rsidRPr="00200AE3" w:rsidRDefault="00FF6FF8" w:rsidP="00FF6FF8">
      <w:pPr>
        <w:pStyle w:val="Paragrafoelenco"/>
        <w:numPr>
          <w:ilvl w:val="0"/>
          <w:numId w:val="1"/>
        </w:numPr>
        <w:spacing w:after="0" w:line="240" w:lineRule="auto"/>
        <w:jc w:val="both"/>
        <w:rPr>
          <w:rFonts w:cstheme="minorHAnsi"/>
          <w:sz w:val="28"/>
          <w:szCs w:val="28"/>
        </w:rPr>
      </w:pPr>
      <w:r w:rsidRPr="00200AE3">
        <w:rPr>
          <w:sz w:val="28"/>
          <w:szCs w:val="28"/>
        </w:rPr>
        <w:t xml:space="preserve">Sui lavori intrapresi e sulle </w:t>
      </w:r>
      <w:proofErr w:type="spellStart"/>
      <w:r w:rsidRPr="00200AE3">
        <w:rPr>
          <w:sz w:val="28"/>
          <w:szCs w:val="28"/>
        </w:rPr>
        <w:t>scoverte</w:t>
      </w:r>
      <w:proofErr w:type="spellEnd"/>
      <w:r w:rsidRPr="00200AE3">
        <w:rPr>
          <w:sz w:val="28"/>
          <w:szCs w:val="28"/>
        </w:rPr>
        <w:t xml:space="preserve"> fatte negli antichi monumenti di Sicilia dal giugno 1863 al luglio </w:t>
      </w:r>
      <w:proofErr w:type="gramStart"/>
      <w:r w:rsidRPr="00200AE3">
        <w:rPr>
          <w:sz w:val="28"/>
          <w:szCs w:val="28"/>
        </w:rPr>
        <w:t>1865 :</w:t>
      </w:r>
      <w:proofErr w:type="gramEnd"/>
      <w:r w:rsidRPr="00200AE3">
        <w:rPr>
          <w:sz w:val="28"/>
          <w:szCs w:val="28"/>
        </w:rPr>
        <w:t xml:space="preserve"> brani di una relazione del presidente della Commissione di </w:t>
      </w:r>
      <w:proofErr w:type="spellStart"/>
      <w:r w:rsidRPr="00200AE3">
        <w:rPr>
          <w:sz w:val="28"/>
          <w:szCs w:val="28"/>
        </w:rPr>
        <w:t>Antichita</w:t>
      </w:r>
      <w:proofErr w:type="spellEnd"/>
      <w:r w:rsidRPr="00200AE3">
        <w:rPr>
          <w:sz w:val="28"/>
          <w:szCs w:val="28"/>
        </w:rPr>
        <w:t xml:space="preserve"> e Belle Arti al Ministero della pubblica istruzione / </w:t>
      </w:r>
      <w:r w:rsidRPr="00200AE3">
        <w:rPr>
          <w:sz w:val="28"/>
          <w:szCs w:val="28"/>
        </w:rPr>
        <w:t>[</w:t>
      </w:r>
      <w:r w:rsidRPr="00200AE3">
        <w:rPr>
          <w:sz w:val="28"/>
          <w:szCs w:val="28"/>
        </w:rPr>
        <w:t>F. Di Giovanni</w:t>
      </w:r>
      <w:r w:rsidRPr="00200AE3">
        <w:rPr>
          <w:sz w:val="28"/>
          <w:szCs w:val="28"/>
        </w:rPr>
        <w:t xml:space="preserve">] </w:t>
      </w:r>
    </w:p>
    <w:p w14:paraId="36F982D6" w14:textId="77777777" w:rsidR="00FF6FF8" w:rsidRPr="00200AE3" w:rsidRDefault="00FF6FF8" w:rsidP="00FF6FF8">
      <w:pPr>
        <w:pStyle w:val="Paragrafoelenco"/>
        <w:numPr>
          <w:ilvl w:val="0"/>
          <w:numId w:val="1"/>
        </w:numPr>
        <w:spacing w:after="0" w:line="240" w:lineRule="auto"/>
        <w:jc w:val="both"/>
        <w:rPr>
          <w:sz w:val="28"/>
          <w:szCs w:val="28"/>
        </w:rPr>
      </w:pPr>
      <w:hyperlink r:id="rId21" w:history="1">
        <w:r w:rsidRPr="00200AE3">
          <w:rPr>
            <w:rStyle w:val="Collegamentoipertestuale"/>
            <w:rFonts w:cstheme="minorHAnsi"/>
            <w:sz w:val="28"/>
            <w:szCs w:val="28"/>
          </w:rPr>
          <w:t>Vincenza Ornella Mazzola, Archivio del museo archeologico di Palermo. – In: Gli archivi non statali in Sicilia. Palermo [etc.</w:t>
        </w:r>
        <w:proofErr w:type="gramStart"/>
        <w:r w:rsidRPr="00200AE3">
          <w:rPr>
            <w:rStyle w:val="Collegamentoipertestuale"/>
            <w:rFonts w:cstheme="minorHAnsi"/>
            <w:sz w:val="28"/>
            <w:szCs w:val="28"/>
          </w:rPr>
          <w:t>] :</w:t>
        </w:r>
        <w:proofErr w:type="gramEnd"/>
        <w:r w:rsidRPr="00200AE3">
          <w:rPr>
            <w:rStyle w:val="Collegamentoipertestuale"/>
            <w:rFonts w:cstheme="minorHAnsi"/>
            <w:sz w:val="28"/>
            <w:szCs w:val="28"/>
          </w:rPr>
          <w:t xml:space="preserve"> ILA Palma, 1994, p.33-46</w:t>
        </w:r>
      </w:hyperlink>
    </w:p>
    <w:p w14:paraId="1D1D2835" w14:textId="77777777" w:rsidR="00FF6FF8" w:rsidRPr="00C80E45" w:rsidRDefault="00FF6FF8" w:rsidP="00FF6FF8">
      <w:pPr>
        <w:pStyle w:val="Paragrafoelenco"/>
        <w:numPr>
          <w:ilvl w:val="0"/>
          <w:numId w:val="1"/>
        </w:numPr>
        <w:spacing w:after="0" w:line="240" w:lineRule="auto"/>
        <w:jc w:val="both"/>
        <w:rPr>
          <w:sz w:val="28"/>
          <w:szCs w:val="28"/>
        </w:rPr>
      </w:pPr>
      <w:r w:rsidRPr="00200AE3">
        <w:rPr>
          <w:sz w:val="28"/>
          <w:szCs w:val="28"/>
        </w:rPr>
        <w:t>L'*attività della Commissione di antichità e belle arti in Sicilia / [a cura di! Giuseppe Lo Iacono, Clemente Marconi. - [Palermo</w:t>
      </w:r>
      <w:proofErr w:type="gramStart"/>
      <w:r w:rsidRPr="00200AE3">
        <w:rPr>
          <w:sz w:val="28"/>
          <w:szCs w:val="28"/>
        </w:rPr>
        <w:t>! :</w:t>
      </w:r>
      <w:proofErr w:type="gramEnd"/>
      <w:r w:rsidRPr="00200AE3">
        <w:rPr>
          <w:sz w:val="28"/>
          <w:szCs w:val="28"/>
        </w:rPr>
        <w:t xml:space="preserve"> Regione siciliana, Assessorato dei beni culturali e ambientali e della pubblica istruzione, 1998</w:t>
      </w:r>
    </w:p>
    <w:p w14:paraId="64D94A23" w14:textId="1A38DCFC" w:rsidR="005F0258" w:rsidRPr="00200AE3" w:rsidRDefault="005F0258" w:rsidP="00FF6FF8">
      <w:pPr>
        <w:pStyle w:val="Paragrafoelenco"/>
        <w:numPr>
          <w:ilvl w:val="0"/>
          <w:numId w:val="1"/>
        </w:numPr>
        <w:spacing w:after="0" w:line="240" w:lineRule="auto"/>
        <w:jc w:val="both"/>
        <w:rPr>
          <w:rFonts w:cstheme="minorHAnsi"/>
          <w:sz w:val="28"/>
          <w:szCs w:val="28"/>
        </w:rPr>
      </w:pPr>
      <w:hyperlink r:id="rId22" w:history="1">
        <w:r w:rsidRPr="00200AE3">
          <w:rPr>
            <w:rStyle w:val="Collegamentoipertestuale"/>
            <w:sz w:val="28"/>
            <w:szCs w:val="28"/>
          </w:rPr>
          <w:t>Dalla Commissione Antichità e Belle Arti di Sicilia (CABAS) alla amministrazione delle Belle Arti nella Sicilia post-unitaria. Rottura e continuità amministrativa / Paola Pelagatti</w:t>
        </w:r>
      </w:hyperlink>
      <w:r w:rsidRPr="00200AE3">
        <w:rPr>
          <w:sz w:val="28"/>
          <w:szCs w:val="28"/>
        </w:rPr>
        <w:t xml:space="preserve">, - In: </w:t>
      </w:r>
      <w:hyperlink r:id="rId23" w:history="1">
        <w:r w:rsidRPr="00200AE3">
          <w:rPr>
            <w:rStyle w:val="Collegamentoipertestuale"/>
            <w:sz w:val="28"/>
            <w:szCs w:val="28"/>
          </w:rPr>
          <w:t xml:space="preserve">Mélanges de l'école </w:t>
        </w:r>
        <w:proofErr w:type="spellStart"/>
        <w:r w:rsidRPr="00200AE3">
          <w:rPr>
            <w:rStyle w:val="Collegamentoipertestuale"/>
            <w:sz w:val="28"/>
            <w:szCs w:val="28"/>
          </w:rPr>
          <w:t>française</w:t>
        </w:r>
        <w:proofErr w:type="spellEnd"/>
        <w:r w:rsidRPr="00200AE3">
          <w:rPr>
            <w:rStyle w:val="Collegamentoipertestuale"/>
            <w:sz w:val="28"/>
            <w:szCs w:val="28"/>
          </w:rPr>
          <w:t xml:space="preserve"> de Rome</w:t>
        </w:r>
      </w:hyperlink>
      <w:r w:rsidRPr="00200AE3">
        <w:rPr>
          <w:sz w:val="28"/>
          <w:szCs w:val="28"/>
        </w:rPr>
        <w:t xml:space="preserve"> </w:t>
      </w:r>
      <w:proofErr w:type="spellStart"/>
      <w:r w:rsidRPr="00200AE3">
        <w:rPr>
          <w:sz w:val="28"/>
          <w:szCs w:val="28"/>
        </w:rPr>
        <w:t>Année</w:t>
      </w:r>
      <w:proofErr w:type="spellEnd"/>
      <w:r w:rsidRPr="00200AE3">
        <w:rPr>
          <w:sz w:val="28"/>
          <w:szCs w:val="28"/>
        </w:rPr>
        <w:t xml:space="preserve"> 2001 </w:t>
      </w:r>
      <w:hyperlink r:id="rId24" w:history="1">
        <w:r w:rsidRPr="00200AE3">
          <w:rPr>
            <w:rStyle w:val="Collegamentoipertestuale"/>
            <w:sz w:val="28"/>
            <w:szCs w:val="28"/>
          </w:rPr>
          <w:t>113-2</w:t>
        </w:r>
      </w:hyperlink>
      <w:r w:rsidRPr="00200AE3">
        <w:rPr>
          <w:sz w:val="28"/>
          <w:szCs w:val="28"/>
        </w:rPr>
        <w:t xml:space="preserve"> pp. 599-621 </w:t>
      </w:r>
    </w:p>
    <w:p w14:paraId="40CB88CA" w14:textId="048E667F" w:rsidR="005F0258" w:rsidRPr="00200AE3" w:rsidRDefault="00AA1F1E" w:rsidP="00FF6FF8">
      <w:pPr>
        <w:pStyle w:val="Paragrafoelenco"/>
        <w:numPr>
          <w:ilvl w:val="0"/>
          <w:numId w:val="1"/>
        </w:numPr>
        <w:spacing w:after="0" w:line="240" w:lineRule="auto"/>
        <w:jc w:val="both"/>
        <w:rPr>
          <w:rFonts w:cstheme="minorHAnsi"/>
          <w:sz w:val="28"/>
          <w:szCs w:val="28"/>
        </w:rPr>
      </w:pPr>
      <w:r w:rsidRPr="00200AE3">
        <w:rPr>
          <w:rFonts w:cstheme="minorHAnsi"/>
          <w:sz w:val="28"/>
          <w:szCs w:val="28"/>
        </w:rPr>
        <w:t>Francesco Muscolino</w:t>
      </w:r>
      <w:r w:rsidRPr="00200AE3">
        <w:rPr>
          <w:rFonts w:cstheme="minorHAnsi"/>
          <w:sz w:val="28"/>
          <w:szCs w:val="28"/>
        </w:rPr>
        <w:t xml:space="preserve">, </w:t>
      </w:r>
      <w:r w:rsidR="005F0258" w:rsidRPr="00200AE3">
        <w:rPr>
          <w:rFonts w:cstheme="minorHAnsi"/>
          <w:sz w:val="28"/>
          <w:szCs w:val="28"/>
        </w:rPr>
        <w:t>L’amministrazione delle antichità e belle arti in Sicilia dall’Unità d’Italia al 1875, tra continuità e rinnovamento, in “Attualità di don Gaetano Chierici. Archeologo, museologo e maestro di impegno civile”, a cura di M. Cremaschi, R. Macellari, G.A. Rossi, Roma 2020, pp. 243-251</w:t>
      </w:r>
    </w:p>
    <w:p w14:paraId="66F3F0BF" w14:textId="77777777" w:rsidR="0031062F" w:rsidRDefault="0031062F" w:rsidP="00FF6FF8">
      <w:pPr>
        <w:spacing w:after="0" w:line="240" w:lineRule="auto"/>
        <w:jc w:val="both"/>
      </w:pPr>
    </w:p>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FA0EA6"/>
    <w:multiLevelType w:val="hybridMultilevel"/>
    <w:tmpl w:val="145ED568"/>
    <w:lvl w:ilvl="0" w:tplc="6C74F91A">
      <w:numFmt w:val="bullet"/>
      <w:lvlText w:val=""/>
      <w:lvlJc w:val="left"/>
      <w:pPr>
        <w:ind w:left="720" w:hanging="360"/>
      </w:pPr>
      <w:rPr>
        <w:rFonts w:ascii="Symbol" w:eastAsiaTheme="minorHAnsi" w:hAnsi="Symbol" w:cstheme="minorBid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34268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71FA8"/>
    <w:rsid w:val="00200AE3"/>
    <w:rsid w:val="0031062F"/>
    <w:rsid w:val="003605E3"/>
    <w:rsid w:val="00375F4B"/>
    <w:rsid w:val="003811E4"/>
    <w:rsid w:val="004966A1"/>
    <w:rsid w:val="005F0258"/>
    <w:rsid w:val="00653982"/>
    <w:rsid w:val="00671FA8"/>
    <w:rsid w:val="00AA1F1E"/>
    <w:rsid w:val="00C71CAA"/>
    <w:rsid w:val="00C80E45"/>
    <w:rsid w:val="00D544E6"/>
    <w:rsid w:val="00E84EF4"/>
    <w:rsid w:val="00FF6F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F250F"/>
  <w15:chartTrackingRefBased/>
  <w15:docId w15:val="{9D007567-8D32-4A9E-9C53-3CE2F17F9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71FA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671FA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671FA8"/>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671FA8"/>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671FA8"/>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671FA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71FA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71FA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71FA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71FA8"/>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671FA8"/>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671FA8"/>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671FA8"/>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671FA8"/>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671FA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71FA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71FA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71FA8"/>
    <w:rPr>
      <w:rFonts w:eastAsiaTheme="majorEastAsia" w:cstheme="majorBidi"/>
      <w:color w:val="272727" w:themeColor="text1" w:themeTint="D8"/>
    </w:rPr>
  </w:style>
  <w:style w:type="paragraph" w:styleId="Titolo">
    <w:name w:val="Title"/>
    <w:basedOn w:val="Normale"/>
    <w:next w:val="Normale"/>
    <w:link w:val="TitoloCarattere"/>
    <w:uiPriority w:val="10"/>
    <w:qFormat/>
    <w:rsid w:val="00671F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71FA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71FA8"/>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71FA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71FA8"/>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671FA8"/>
    <w:rPr>
      <w:i/>
      <w:iCs/>
      <w:color w:val="404040" w:themeColor="text1" w:themeTint="BF"/>
    </w:rPr>
  </w:style>
  <w:style w:type="paragraph" w:styleId="Paragrafoelenco">
    <w:name w:val="List Paragraph"/>
    <w:basedOn w:val="Normale"/>
    <w:uiPriority w:val="34"/>
    <w:qFormat/>
    <w:rsid w:val="00671FA8"/>
    <w:pPr>
      <w:ind w:left="720"/>
      <w:contextualSpacing/>
    </w:pPr>
  </w:style>
  <w:style w:type="character" w:styleId="Enfasiintensa">
    <w:name w:val="Intense Emphasis"/>
    <w:basedOn w:val="Carpredefinitoparagrafo"/>
    <w:uiPriority w:val="21"/>
    <w:qFormat/>
    <w:rsid w:val="00671FA8"/>
    <w:rPr>
      <w:i/>
      <w:iCs/>
      <w:color w:val="365F91" w:themeColor="accent1" w:themeShade="BF"/>
    </w:rPr>
  </w:style>
  <w:style w:type="paragraph" w:styleId="Citazioneintensa">
    <w:name w:val="Intense Quote"/>
    <w:basedOn w:val="Normale"/>
    <w:next w:val="Normale"/>
    <w:link w:val="CitazioneintensaCarattere"/>
    <w:uiPriority w:val="30"/>
    <w:qFormat/>
    <w:rsid w:val="00671FA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671FA8"/>
    <w:rPr>
      <w:i/>
      <w:iCs/>
      <w:color w:val="365F91" w:themeColor="accent1" w:themeShade="BF"/>
    </w:rPr>
  </w:style>
  <w:style w:type="character" w:styleId="Riferimentointenso">
    <w:name w:val="Intense Reference"/>
    <w:basedOn w:val="Carpredefinitoparagrafo"/>
    <w:uiPriority w:val="32"/>
    <w:qFormat/>
    <w:rsid w:val="00671FA8"/>
    <w:rPr>
      <w:b/>
      <w:bCs/>
      <w:smallCaps/>
      <w:color w:val="365F91" w:themeColor="accent1" w:themeShade="BF"/>
      <w:spacing w:val="5"/>
    </w:rPr>
  </w:style>
  <w:style w:type="character" w:styleId="Collegamentoipertestuale">
    <w:name w:val="Hyperlink"/>
    <w:basedOn w:val="Carpredefinitoparagrafo"/>
    <w:uiPriority w:val="99"/>
    <w:unhideWhenUsed/>
    <w:rsid w:val="00C80E45"/>
    <w:rPr>
      <w:color w:val="0000FF" w:themeColor="hyperlink"/>
      <w:u w:val="single"/>
    </w:rPr>
  </w:style>
  <w:style w:type="character" w:styleId="Menzionenonrisolta">
    <w:name w:val="Unresolved Mention"/>
    <w:basedOn w:val="Carpredefinitoparagrafo"/>
    <w:uiPriority w:val="99"/>
    <w:semiHidden/>
    <w:unhideWhenUsed/>
    <w:rsid w:val="00C80E45"/>
    <w:rPr>
      <w:color w:val="605E5C"/>
      <w:shd w:val="clear" w:color="auto" w:fill="E1DFDD"/>
    </w:rPr>
  </w:style>
  <w:style w:type="character" w:customStyle="1" w:styleId="ds2-5-body-md">
    <w:name w:val="ds2-5-body-md"/>
    <w:basedOn w:val="Carpredefinitoparagrafo"/>
    <w:rsid w:val="005F02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books.google.it/books/about/Bullettino_della_Commissione_di_Antichit.html?id=RldBAAAAcAAJ&amp;redir_esc=y" TargetMode="External"/><Relationship Id="rId18" Type="http://schemas.openxmlformats.org/officeDocument/2006/relationships/hyperlink" Target="https://www.digitale-sammlungen.de/en/view/bsb11030554?page=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oogle.com/url?sa=t&amp;source=web&amp;rct=j&amp;opi=89978449&amp;url=https://www2.regione.sicilia.it/bbccaa/salinas/pubblicazioni/Estratto%2520per%2520Archivio%2520Storico.pdf&amp;ved=2ahUKEwihxrSMjdGSAxWqhv0HHbwAF2cQFnoECDQQAQ&amp;usg=AOvVaw1Lbt6GnBpTN8RovmggN2v0" TargetMode="External"/><Relationship Id="rId7" Type="http://schemas.openxmlformats.org/officeDocument/2006/relationships/image" Target="media/image3.png"/><Relationship Id="rId12" Type="http://schemas.openxmlformats.org/officeDocument/2006/relationships/hyperlink" Target="https://www.digitale-sammlungen.de/en/search?filter=volumes%3A%22bsb10484600%2FBV011734429%22" TargetMode="External"/><Relationship Id="rId17" Type="http://schemas.openxmlformats.org/officeDocument/2006/relationships/hyperlink" Target="https://books.google.it/books/about/Bullettino_della_Commissione_di_Antichit.html?id=R1dBAAAAcAAJ&amp;redir_esc=y"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lay.google.com/books/reader?id=R1dBAAAAcAAJ&amp;pg=GBS.PP1&amp;hl=it" TargetMode="External"/><Relationship Id="rId20" Type="http://schemas.openxmlformats.org/officeDocument/2006/relationships/hyperlink" Target="https://play.google.com/books/reader?id=DCZTAAAAcAAJ&amp;pg=GBS.PP2&amp;hl=i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persee.fr/issue/mefr_1123-9891_2001_num_113_2?sectionId=mefr_1123-9891_2001_num_113_2_9818" TargetMode="External"/><Relationship Id="rId5" Type="http://schemas.openxmlformats.org/officeDocument/2006/relationships/image" Target="media/image1.png"/><Relationship Id="rId15" Type="http://schemas.openxmlformats.org/officeDocument/2006/relationships/hyperlink" Target="https://play.google.com/books/reader?id=RldBAAAAcAAJ&amp;pg=GBS.PP2&amp;hl=it" TargetMode="External"/><Relationship Id="rId23" Type="http://schemas.openxmlformats.org/officeDocument/2006/relationships/hyperlink" Target="https://www.persee.fr/collection/mefr" TargetMode="External"/><Relationship Id="rId10" Type="http://schemas.openxmlformats.org/officeDocument/2006/relationships/image" Target="media/image6.png"/><Relationship Id="rId19" Type="http://schemas.openxmlformats.org/officeDocument/2006/relationships/hyperlink" Target="https://books.google.it/books?id=CSZTAAAAcAAJ&amp;printsec=frontcover&amp;hl=it&amp;source=gbs_ge_summary_r&amp;cad=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play.google.com/books/reader?id=RVdBAAAAcAAJ&amp;pg=GBS.PP2&amp;hl=it" TargetMode="External"/><Relationship Id="rId22" Type="http://schemas.openxmlformats.org/officeDocument/2006/relationships/hyperlink" Target="https://www.persee.fr/doc/mefr_1123-9891_2001_num_113_2_9818"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722</Words>
  <Characters>4116</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2026-02-11T09:14:00Z</dcterms:created>
  <dcterms:modified xsi:type="dcterms:W3CDTF">2026-02-11T09:58:00Z</dcterms:modified>
</cp:coreProperties>
</file>