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9856" w14:textId="3486AE4A" w:rsidR="009D6AF9" w:rsidRPr="00C042B1" w:rsidRDefault="009D6AF9" w:rsidP="00B54E4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9840947"/>
      <w:r>
        <w:rPr>
          <w:rFonts w:cstheme="minorHAnsi"/>
          <w:b/>
          <w:color w:val="C00000"/>
          <w:sz w:val="44"/>
          <w:szCs w:val="44"/>
        </w:rPr>
        <w:t>HX1465</w:t>
      </w:r>
      <w:r>
        <w:rPr>
          <w:rFonts w:cstheme="minorHAnsi"/>
          <w:b/>
          <w:color w:val="C00000"/>
          <w:sz w:val="44"/>
          <w:szCs w:val="44"/>
        </w:rPr>
        <w:tab/>
      </w:r>
      <w:r w:rsidRPr="00C042B1">
        <w:rPr>
          <w:rFonts w:cstheme="minorHAnsi"/>
          <w:b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b/>
          <w:sz w:val="16"/>
          <w:szCs w:val="16"/>
        </w:rPr>
        <w:tab/>
      </w:r>
      <w:r w:rsidRPr="00C042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 xml:space="preserve"> 3 giugno 2025</w:t>
      </w:r>
      <w:r w:rsidR="00CA0D20">
        <w:rPr>
          <w:rFonts w:cstheme="minorHAnsi"/>
          <w:i/>
          <w:sz w:val="16"/>
          <w:szCs w:val="16"/>
        </w:rPr>
        <w:t>; Ultimo aggiornamento: 1 luglio 2025</w:t>
      </w:r>
    </w:p>
    <w:p w14:paraId="62F6DA76" w14:textId="60FDAF88" w:rsidR="0013769E" w:rsidRDefault="00924921" w:rsidP="00B54E4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24921">
        <w:rPr>
          <w:noProof/>
        </w:rPr>
        <w:drawing>
          <wp:inline distT="0" distB="0" distL="0" distR="0" wp14:anchorId="1B97B0AD" wp14:editId="683D8DB1">
            <wp:extent cx="1166400" cy="1800000"/>
            <wp:effectExtent l="0" t="0" r="0" b="0"/>
            <wp:docPr id="13904431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431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69E">
        <w:rPr>
          <w:noProof/>
        </w:rPr>
        <w:drawing>
          <wp:inline distT="0" distB="0" distL="0" distR="0" wp14:anchorId="6D9603ED" wp14:editId="086E9CC1">
            <wp:extent cx="1119600" cy="1800000"/>
            <wp:effectExtent l="0" t="0" r="4445" b="0"/>
            <wp:docPr id="1445040862" name="Immagine 1" descr="immagine per scheda con id TSA141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TSA14154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6B4">
        <w:rPr>
          <w:noProof/>
        </w:rPr>
        <w:drawing>
          <wp:inline distT="0" distB="0" distL="0" distR="0" wp14:anchorId="1F32DE08" wp14:editId="1677AE83">
            <wp:extent cx="1137600" cy="1800000"/>
            <wp:effectExtent l="0" t="0" r="5715" b="0"/>
            <wp:docPr id="2538272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66B4" w:rsidRPr="001666B4">
        <w:rPr>
          <w:noProof/>
        </w:rPr>
        <w:t xml:space="preserve"> </w:t>
      </w:r>
      <w:r w:rsidR="001666B4" w:rsidRPr="001666B4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D68AA8A" wp14:editId="529E8B9B">
            <wp:extent cx="1170000" cy="1800000"/>
            <wp:effectExtent l="0" t="0" r="0" b="0"/>
            <wp:docPr id="2122588885" name="Immagine 1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88885" name="Immagine 1" descr="Immagine che contiene testo, schermata, Carattere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6B4" w:rsidRPr="001666B4">
        <w:rPr>
          <w:rFonts w:cstheme="minorHAnsi"/>
          <w:b/>
          <w:noProof/>
          <w:color w:val="C00000"/>
          <w:sz w:val="44"/>
          <w:szCs w:val="44"/>
        </w:rPr>
        <w:t xml:space="preserve"> </w:t>
      </w:r>
      <w:r w:rsidR="0013769E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9D0E785" wp14:editId="15A5D8B7">
            <wp:extent cx="1130400" cy="1800000"/>
            <wp:effectExtent l="0" t="0" r="0" b="0"/>
            <wp:docPr id="16891410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4E952" w14:textId="6E23801D" w:rsidR="009D6AF9" w:rsidRPr="00C042B1" w:rsidRDefault="009D6AF9" w:rsidP="00B54E4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042B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89F6334" w14:textId="4E0B47F3" w:rsidR="009D6AF9" w:rsidRPr="00CA0D20" w:rsidRDefault="009D6AF9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A0D20">
        <w:rPr>
          <w:rFonts w:ascii="Calibri" w:hAnsi="Calibri" w:cs="Calibri"/>
          <w:b/>
          <w:bCs/>
          <w:sz w:val="26"/>
          <w:szCs w:val="26"/>
        </w:rPr>
        <w:t>*</w:t>
      </w:r>
      <w:bookmarkStart w:id="1" w:name="_Hlk199842485"/>
      <w:r w:rsidRPr="00CA0D20">
        <w:rPr>
          <w:rFonts w:ascii="Calibri" w:hAnsi="Calibri" w:cs="Calibri"/>
          <w:b/>
          <w:bCs/>
          <w:sz w:val="26"/>
          <w:szCs w:val="26"/>
        </w:rPr>
        <w:t xml:space="preserve">Triester </w:t>
      </w:r>
      <w:proofErr w:type="gramStart"/>
      <w:r w:rsidRPr="00CA0D20">
        <w:rPr>
          <w:rFonts w:ascii="Calibri" w:hAnsi="Calibri" w:cs="Calibri"/>
          <w:b/>
          <w:bCs/>
          <w:sz w:val="26"/>
          <w:szCs w:val="26"/>
        </w:rPr>
        <w:t>Zeitung</w:t>
      </w:r>
      <w:bookmarkEnd w:id="1"/>
      <w:r w:rsidR="00924921" w:rsidRPr="00CA0D20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24921" w:rsidRPr="00CA0D20">
        <w:rPr>
          <w:rFonts w:ascii="Calibri" w:hAnsi="Calibri" w:cs="Calibri"/>
          <w:sz w:val="26"/>
          <w:szCs w:val="26"/>
        </w:rPr>
        <w:t>:</w:t>
      </w:r>
      <w:proofErr w:type="gramEnd"/>
      <w:r w:rsidR="00924921" w:rsidRPr="00CA0D20">
        <w:rPr>
          <w:rFonts w:ascii="Calibri" w:hAnsi="Calibri" w:cs="Calibri"/>
          <w:sz w:val="26"/>
          <w:szCs w:val="26"/>
        </w:rPr>
        <w:t xml:space="preserve"> Morgenblatt</w:t>
      </w:r>
      <w:r w:rsidRPr="00CA0D20">
        <w:rPr>
          <w:rFonts w:ascii="Calibri" w:hAnsi="Calibri" w:cs="Calibri"/>
          <w:bCs/>
          <w:sz w:val="26"/>
          <w:szCs w:val="26"/>
        </w:rPr>
        <w:t>.</w:t>
      </w:r>
      <w:r w:rsidRPr="00CA0D20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CA0D20">
        <w:rPr>
          <w:rFonts w:ascii="Calibri" w:hAnsi="Calibri" w:cs="Calibri"/>
          <w:sz w:val="26"/>
          <w:szCs w:val="26"/>
        </w:rPr>
        <w:t xml:space="preserve">- </w:t>
      </w:r>
      <w:r w:rsidR="0013769E" w:rsidRPr="00CA0D20">
        <w:rPr>
          <w:rFonts w:ascii="Calibri" w:hAnsi="Calibri" w:cs="Calibri"/>
          <w:sz w:val="26"/>
          <w:szCs w:val="26"/>
        </w:rPr>
        <w:t xml:space="preserve">   -2 November 1918. - </w:t>
      </w:r>
      <w:proofErr w:type="gramStart"/>
      <w:r w:rsidRPr="00CA0D20">
        <w:rPr>
          <w:rFonts w:ascii="Calibri" w:hAnsi="Calibri" w:cs="Calibri"/>
          <w:sz w:val="26"/>
          <w:szCs w:val="26"/>
        </w:rPr>
        <w:t>Triest :</w:t>
      </w:r>
      <w:proofErr w:type="gramEnd"/>
      <w:r w:rsidRPr="00CA0D20">
        <w:rPr>
          <w:rFonts w:ascii="Calibri" w:hAnsi="Calibri" w:cs="Calibri"/>
          <w:sz w:val="26"/>
          <w:szCs w:val="26"/>
        </w:rPr>
        <w:t xml:space="preserve"> Oesterreichischer Lloyd, 1851-1918. – 68 </w:t>
      </w:r>
      <w:proofErr w:type="gramStart"/>
      <w:r w:rsidRPr="00CA0D20">
        <w:rPr>
          <w:rFonts w:ascii="Calibri" w:hAnsi="Calibri" w:cs="Calibri"/>
          <w:sz w:val="26"/>
          <w:szCs w:val="26"/>
        </w:rPr>
        <w:t>volumi ;</w:t>
      </w:r>
      <w:proofErr w:type="gramEnd"/>
      <w:r w:rsidRPr="00CA0D20">
        <w:rPr>
          <w:rFonts w:ascii="Calibri" w:hAnsi="Calibri" w:cs="Calibri"/>
          <w:sz w:val="26"/>
          <w:szCs w:val="26"/>
        </w:rPr>
        <w:t xml:space="preserve"> 54 cm. ((Quotidiano. </w:t>
      </w:r>
      <w:r w:rsidR="00924921" w:rsidRPr="00CA0D20">
        <w:rPr>
          <w:rFonts w:ascii="Calibri" w:hAnsi="Calibri" w:cs="Calibri"/>
          <w:sz w:val="26"/>
          <w:szCs w:val="26"/>
        </w:rPr>
        <w:t>–</w:t>
      </w:r>
      <w:r w:rsidRPr="00CA0D20">
        <w:rPr>
          <w:rFonts w:ascii="Calibri" w:hAnsi="Calibri" w:cs="Calibri"/>
          <w:sz w:val="26"/>
          <w:szCs w:val="26"/>
        </w:rPr>
        <w:t xml:space="preserve"> </w:t>
      </w:r>
      <w:r w:rsidR="00924921" w:rsidRPr="00CA0D20">
        <w:rPr>
          <w:rFonts w:ascii="Calibri" w:hAnsi="Calibri" w:cs="Calibri"/>
          <w:sz w:val="26"/>
          <w:szCs w:val="26"/>
        </w:rPr>
        <w:t>Poi sottotitolo</w:t>
      </w:r>
      <w:proofErr w:type="gramStart"/>
      <w:r w:rsidR="00924921" w:rsidRPr="00CA0D20">
        <w:rPr>
          <w:rFonts w:ascii="Calibri" w:hAnsi="Calibri" w:cs="Calibri"/>
          <w:sz w:val="26"/>
          <w:szCs w:val="26"/>
        </w:rPr>
        <w:t xml:space="preserve">: </w:t>
      </w:r>
      <w:r w:rsidR="00924921" w:rsidRPr="00CA0D20">
        <w:rPr>
          <w:rFonts w:ascii="Calibri" w:hAnsi="Calibri" w:cs="Calibri"/>
          <w:bCs/>
          <w:sz w:val="26"/>
          <w:szCs w:val="26"/>
        </w:rPr>
        <w:t>:</w:t>
      </w:r>
      <w:proofErr w:type="gramEnd"/>
      <w:r w:rsidR="00924921" w:rsidRPr="00CA0D20">
        <w:rPr>
          <w:rFonts w:ascii="Calibri" w:hAnsi="Calibri" w:cs="Calibri"/>
          <w:bCs/>
          <w:sz w:val="26"/>
          <w:szCs w:val="26"/>
        </w:rPr>
        <w:t xml:space="preserve"> Abend-Ausgabe</w:t>
      </w:r>
      <w:r w:rsidR="00924921" w:rsidRPr="00CA0D20">
        <w:rPr>
          <w:rFonts w:ascii="Calibri" w:hAnsi="Calibri" w:cs="Calibri"/>
          <w:sz w:val="26"/>
          <w:szCs w:val="26"/>
        </w:rPr>
        <w:t xml:space="preserve">. - </w:t>
      </w:r>
      <w:r w:rsidRPr="00CA0D20">
        <w:rPr>
          <w:rFonts w:ascii="Calibri" w:hAnsi="Calibri" w:cs="Calibri"/>
          <w:sz w:val="26"/>
          <w:szCs w:val="26"/>
        </w:rPr>
        <w:t xml:space="preserve">Descrizione basata su: Jahrgang </w:t>
      </w:r>
      <w:r w:rsidR="00924921" w:rsidRPr="00CA0D20">
        <w:rPr>
          <w:rFonts w:ascii="Calibri" w:hAnsi="Calibri" w:cs="Calibri"/>
          <w:sz w:val="26"/>
          <w:szCs w:val="26"/>
        </w:rPr>
        <w:t>32</w:t>
      </w:r>
      <w:r w:rsidRPr="00CA0D20">
        <w:rPr>
          <w:rFonts w:ascii="Calibri" w:hAnsi="Calibri" w:cs="Calibri"/>
          <w:sz w:val="26"/>
          <w:szCs w:val="26"/>
        </w:rPr>
        <w:t>, n. 1</w:t>
      </w:r>
      <w:r w:rsidR="00924921" w:rsidRPr="00CA0D20">
        <w:rPr>
          <w:rFonts w:ascii="Calibri" w:hAnsi="Calibri" w:cs="Calibri"/>
          <w:sz w:val="26"/>
          <w:szCs w:val="26"/>
        </w:rPr>
        <w:t>48</w:t>
      </w:r>
      <w:r w:rsidRPr="00CA0D20">
        <w:rPr>
          <w:rFonts w:ascii="Calibri" w:hAnsi="Calibri" w:cs="Calibri"/>
          <w:sz w:val="26"/>
          <w:szCs w:val="26"/>
        </w:rPr>
        <w:t xml:space="preserve"> (</w:t>
      </w:r>
      <w:r w:rsidR="00924921" w:rsidRPr="00CA0D20">
        <w:rPr>
          <w:rFonts w:ascii="Calibri" w:hAnsi="Calibri" w:cs="Calibri"/>
          <w:sz w:val="26"/>
          <w:szCs w:val="26"/>
        </w:rPr>
        <w:t>1</w:t>
      </w:r>
      <w:r w:rsidRPr="00CA0D20">
        <w:rPr>
          <w:rFonts w:ascii="Calibri" w:hAnsi="Calibri" w:cs="Calibri"/>
          <w:sz w:val="26"/>
          <w:szCs w:val="26"/>
        </w:rPr>
        <w:t xml:space="preserve"> J</w:t>
      </w:r>
      <w:r w:rsidR="00924921" w:rsidRPr="00CA0D20">
        <w:rPr>
          <w:rFonts w:ascii="Calibri" w:hAnsi="Calibri" w:cs="Calibri"/>
          <w:sz w:val="26"/>
          <w:szCs w:val="26"/>
        </w:rPr>
        <w:t>uli</w:t>
      </w:r>
      <w:r w:rsidRPr="00CA0D20">
        <w:rPr>
          <w:rFonts w:ascii="Calibri" w:hAnsi="Calibri" w:cs="Calibri"/>
          <w:sz w:val="26"/>
          <w:szCs w:val="26"/>
        </w:rPr>
        <w:t xml:space="preserve"> 1</w:t>
      </w:r>
      <w:r w:rsidR="00924921" w:rsidRPr="00CA0D20">
        <w:rPr>
          <w:rFonts w:ascii="Calibri" w:hAnsi="Calibri" w:cs="Calibri"/>
          <w:sz w:val="26"/>
          <w:szCs w:val="26"/>
        </w:rPr>
        <w:t>882</w:t>
      </w:r>
      <w:r w:rsidRPr="00CA0D20">
        <w:rPr>
          <w:rFonts w:ascii="Calibri" w:hAnsi="Calibri" w:cs="Calibri"/>
          <w:sz w:val="26"/>
          <w:szCs w:val="26"/>
        </w:rPr>
        <w:t>). - TSA1415445</w:t>
      </w:r>
    </w:p>
    <w:p w14:paraId="0449F0EC" w14:textId="7EAB0632" w:rsidR="0013769E" w:rsidRPr="00CA0D20" w:rsidRDefault="0013769E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A0D20">
        <w:rPr>
          <w:rFonts w:ascii="Calibri" w:hAnsi="Calibri" w:cs="Calibri"/>
          <w:sz w:val="26"/>
          <w:szCs w:val="26"/>
        </w:rPr>
        <w:t>Continuazione di: *Journal des Österreichischen Lloyd [</w:t>
      </w:r>
      <w:hyperlink r:id="rId10" w:history="1">
        <w:r w:rsidRPr="00CA0D20">
          <w:rPr>
            <w:rStyle w:val="Collegamentoipertestuale"/>
            <w:rFonts w:ascii="Calibri" w:hAnsi="Calibri" w:cs="Calibri"/>
            <w:sz w:val="26"/>
            <w:szCs w:val="26"/>
          </w:rPr>
          <w:t>XU825</w:t>
        </w:r>
      </w:hyperlink>
      <w:r w:rsidRPr="00CA0D20">
        <w:rPr>
          <w:rFonts w:ascii="Calibri" w:hAnsi="Calibri" w:cs="Calibri"/>
          <w:sz w:val="26"/>
          <w:szCs w:val="26"/>
        </w:rPr>
        <w:t>]</w:t>
      </w:r>
    </w:p>
    <w:p w14:paraId="0BE3C8D8" w14:textId="77777777" w:rsidR="00924921" w:rsidRPr="00CA0D20" w:rsidRDefault="009D6AF9" w:rsidP="00B54E48">
      <w:pPr>
        <w:spacing w:after="0" w:line="240" w:lineRule="auto"/>
        <w:jc w:val="both"/>
        <w:rPr>
          <w:sz w:val="26"/>
          <w:szCs w:val="26"/>
        </w:rPr>
      </w:pPr>
      <w:r w:rsidRPr="00CA0D20">
        <w:rPr>
          <w:rFonts w:ascii="Calibri" w:hAnsi="Calibri" w:cs="Calibri"/>
          <w:b/>
          <w:bCs/>
          <w:color w:val="C00000"/>
          <w:sz w:val="26"/>
          <w:szCs w:val="26"/>
          <w:lang w:val="es-ES"/>
        </w:rPr>
        <w:t>Copia digitale</w:t>
      </w:r>
      <w:r w:rsidRPr="00CA0D20">
        <w:rPr>
          <w:rFonts w:ascii="Calibri" w:hAnsi="Calibri" w:cs="Calibri"/>
          <w:color w:val="C00000"/>
          <w:sz w:val="26"/>
          <w:szCs w:val="26"/>
          <w:lang w:val="es-ES"/>
        </w:rPr>
        <w:t xml:space="preserve"> </w:t>
      </w:r>
      <w:hyperlink r:id="rId11" w:anchor="v=onepage&amp;q&amp;f=false" w:history="1">
        <w:r w:rsidR="00924921" w:rsidRPr="00CA0D20">
          <w:rPr>
            <w:rStyle w:val="Collegamentoipertestuale"/>
            <w:rFonts w:ascii="Calibri" w:hAnsi="Calibri" w:cs="Calibri"/>
            <w:sz w:val="26"/>
            <w:szCs w:val="26"/>
            <w:lang w:val="es-ES"/>
          </w:rPr>
          <w:t>luglio-dicembre 1882</w:t>
        </w:r>
      </w:hyperlink>
      <w:r w:rsidR="00924921" w:rsidRPr="00CA0D20">
        <w:rPr>
          <w:rFonts w:ascii="Calibri" w:hAnsi="Calibri" w:cs="Calibri"/>
          <w:color w:val="C00000"/>
          <w:sz w:val="26"/>
          <w:szCs w:val="26"/>
          <w:lang w:val="es-ES"/>
        </w:rPr>
        <w:t xml:space="preserve">; </w:t>
      </w:r>
      <w:hyperlink r:id="rId12" w:history="1">
        <w:r w:rsidRPr="00CA0D20">
          <w:rPr>
            <w:rStyle w:val="Collegamentoipertestuale"/>
            <w:rFonts w:ascii="Calibri" w:hAnsi="Calibri" w:cs="Calibri"/>
            <w:sz w:val="26"/>
            <w:szCs w:val="26"/>
            <w:lang w:val="es-ES"/>
          </w:rPr>
          <w:t>1914-1915</w:t>
        </w:r>
      </w:hyperlink>
    </w:p>
    <w:p w14:paraId="58B7CB1A" w14:textId="77777777" w:rsidR="001666B4" w:rsidRPr="00CA0D20" w:rsidRDefault="001666B4" w:rsidP="00B54E48">
      <w:pPr>
        <w:spacing w:after="0" w:line="240" w:lineRule="auto"/>
        <w:jc w:val="both"/>
        <w:rPr>
          <w:sz w:val="26"/>
          <w:szCs w:val="26"/>
        </w:rPr>
      </w:pPr>
    </w:p>
    <w:p w14:paraId="3D71E8A3" w14:textId="2F4CBC43" w:rsidR="001666B4" w:rsidRPr="00CA0D20" w:rsidRDefault="001666B4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  <w:lang w:val="es-ES"/>
        </w:rPr>
      </w:pPr>
      <w:r w:rsidRPr="00CA0D20">
        <w:rPr>
          <w:rFonts w:ascii="Calibri" w:hAnsi="Calibri" w:cs="Calibri"/>
          <w:sz w:val="26"/>
          <w:szCs w:val="26"/>
        </w:rPr>
        <w:t>*</w:t>
      </w:r>
      <w:r w:rsidRPr="00CA0D20">
        <w:rPr>
          <w:rFonts w:ascii="Calibri" w:hAnsi="Calibri" w:cs="Calibri"/>
          <w:b/>
          <w:bCs/>
          <w:sz w:val="26"/>
          <w:szCs w:val="26"/>
        </w:rPr>
        <w:t>Oesterreichische Marine-Zeitschrift</w:t>
      </w:r>
      <w:r w:rsidRPr="00CA0D20">
        <w:rPr>
          <w:rFonts w:ascii="Calibri" w:hAnsi="Calibri" w:cs="Calibri"/>
          <w:sz w:val="26"/>
          <w:szCs w:val="26"/>
        </w:rPr>
        <w:t xml:space="preserve"> / redigirt von J. Löwenthal und F. E. Pipitz. </w:t>
      </w:r>
      <w:r w:rsidRPr="00CA0D20">
        <w:rPr>
          <w:rFonts w:ascii="Calibri" w:hAnsi="Calibri" w:cs="Calibri"/>
          <w:sz w:val="26"/>
          <w:szCs w:val="26"/>
        </w:rPr>
        <w:t>–</w:t>
      </w:r>
      <w:r w:rsidRPr="00CA0D20">
        <w:rPr>
          <w:rFonts w:ascii="Calibri" w:hAnsi="Calibri" w:cs="Calibri"/>
          <w:sz w:val="26"/>
          <w:szCs w:val="26"/>
        </w:rPr>
        <w:t xml:space="preserve"> </w:t>
      </w:r>
      <w:r w:rsidRPr="00CA0D20">
        <w:rPr>
          <w:rFonts w:ascii="Calibri" w:hAnsi="Calibri" w:cs="Calibri"/>
          <w:sz w:val="26"/>
          <w:szCs w:val="26"/>
        </w:rPr>
        <w:t xml:space="preserve">Jahrgang </w:t>
      </w:r>
      <w:r w:rsidRPr="00CA0D20">
        <w:rPr>
          <w:rFonts w:ascii="Calibri" w:hAnsi="Calibri" w:cs="Calibri"/>
          <w:sz w:val="26"/>
          <w:szCs w:val="26"/>
        </w:rPr>
        <w:t>1853-</w:t>
      </w:r>
      <w:r w:rsidRPr="00CA0D20">
        <w:rPr>
          <w:rFonts w:ascii="Calibri" w:hAnsi="Calibri" w:cs="Calibri"/>
          <w:sz w:val="26"/>
          <w:szCs w:val="26"/>
        </w:rPr>
        <w:t>Jahrgang</w:t>
      </w:r>
      <w:r w:rsidRPr="00CA0D20">
        <w:rPr>
          <w:rFonts w:ascii="Calibri" w:hAnsi="Calibri" w:cs="Calibri"/>
          <w:sz w:val="26"/>
          <w:szCs w:val="26"/>
        </w:rPr>
        <w:t xml:space="preserve"> 7</w:t>
      </w:r>
      <w:r w:rsidRPr="00CA0D20">
        <w:rPr>
          <w:rFonts w:ascii="Calibri" w:hAnsi="Calibri" w:cs="Calibri"/>
          <w:sz w:val="26"/>
          <w:szCs w:val="26"/>
        </w:rPr>
        <w:t xml:space="preserve"> </w:t>
      </w:r>
      <w:r w:rsidRPr="00CA0D20">
        <w:rPr>
          <w:rFonts w:ascii="Calibri" w:hAnsi="Calibri" w:cs="Calibri"/>
          <w:sz w:val="26"/>
          <w:szCs w:val="26"/>
        </w:rPr>
        <w:t xml:space="preserve">(1859). - </w:t>
      </w:r>
      <w:proofErr w:type="gramStart"/>
      <w:r w:rsidRPr="00CA0D20">
        <w:rPr>
          <w:rFonts w:ascii="Calibri" w:hAnsi="Calibri" w:cs="Calibri"/>
          <w:sz w:val="26"/>
          <w:szCs w:val="26"/>
        </w:rPr>
        <w:t>Triest :</w:t>
      </w:r>
      <w:proofErr w:type="gramEnd"/>
      <w:r w:rsidRPr="00CA0D20">
        <w:rPr>
          <w:rFonts w:ascii="Calibri" w:hAnsi="Calibri" w:cs="Calibri"/>
          <w:sz w:val="26"/>
          <w:szCs w:val="26"/>
        </w:rPr>
        <w:t xml:space="preserve"> Buchdruckerei des Oesterreichischen Lloyd, 1853-1859. </w:t>
      </w:r>
      <w:r w:rsidRPr="00CA0D20">
        <w:rPr>
          <w:rFonts w:ascii="Calibri" w:hAnsi="Calibri" w:cs="Calibri"/>
          <w:sz w:val="26"/>
          <w:szCs w:val="26"/>
        </w:rPr>
        <w:t>–</w:t>
      </w:r>
      <w:r w:rsidRPr="00CA0D20">
        <w:rPr>
          <w:rFonts w:ascii="Calibri" w:hAnsi="Calibri" w:cs="Calibri"/>
          <w:sz w:val="26"/>
          <w:szCs w:val="26"/>
        </w:rPr>
        <w:t xml:space="preserve"> </w:t>
      </w:r>
      <w:r w:rsidRPr="00CA0D20">
        <w:rPr>
          <w:rFonts w:ascii="Calibri" w:hAnsi="Calibri" w:cs="Calibri"/>
          <w:sz w:val="26"/>
          <w:szCs w:val="26"/>
        </w:rPr>
        <w:t xml:space="preserve">7 </w:t>
      </w:r>
      <w:proofErr w:type="gramStart"/>
      <w:r w:rsidRPr="00CA0D20">
        <w:rPr>
          <w:rFonts w:ascii="Calibri" w:hAnsi="Calibri" w:cs="Calibri"/>
          <w:sz w:val="26"/>
          <w:szCs w:val="26"/>
        </w:rPr>
        <w:t>v</w:t>
      </w:r>
      <w:r w:rsidRPr="00CA0D20">
        <w:rPr>
          <w:rFonts w:ascii="Calibri" w:hAnsi="Calibri" w:cs="Calibri"/>
          <w:sz w:val="26"/>
          <w:szCs w:val="26"/>
        </w:rPr>
        <w:t>olumi</w:t>
      </w:r>
      <w:r w:rsidRPr="00CA0D20">
        <w:rPr>
          <w:rFonts w:ascii="Calibri" w:hAnsi="Calibri" w:cs="Calibri"/>
          <w:sz w:val="26"/>
          <w:szCs w:val="26"/>
        </w:rPr>
        <w:t xml:space="preserve"> ;</w:t>
      </w:r>
      <w:proofErr w:type="gramEnd"/>
      <w:r w:rsidRPr="00CA0D20">
        <w:rPr>
          <w:rFonts w:ascii="Calibri" w:hAnsi="Calibri" w:cs="Calibri"/>
          <w:sz w:val="26"/>
          <w:szCs w:val="26"/>
        </w:rPr>
        <w:t xml:space="preserve"> 24 cm. </w:t>
      </w:r>
      <w:r w:rsidRPr="00CA0D20">
        <w:rPr>
          <w:rFonts w:ascii="Calibri" w:hAnsi="Calibri" w:cs="Calibri"/>
          <w:sz w:val="26"/>
          <w:szCs w:val="26"/>
        </w:rPr>
        <w:t>((</w:t>
      </w:r>
      <w:r w:rsidRPr="00CA0D20">
        <w:rPr>
          <w:rFonts w:ascii="Calibri" w:hAnsi="Calibri" w:cs="Calibri"/>
          <w:sz w:val="26"/>
          <w:szCs w:val="26"/>
        </w:rPr>
        <w:t>Suppl</w:t>
      </w:r>
      <w:r w:rsidRPr="00CA0D20">
        <w:rPr>
          <w:rFonts w:ascii="Calibri" w:hAnsi="Calibri" w:cs="Calibri"/>
          <w:sz w:val="26"/>
          <w:szCs w:val="26"/>
        </w:rPr>
        <w:t>emento</w:t>
      </w:r>
      <w:r w:rsidRPr="00CA0D20">
        <w:rPr>
          <w:rFonts w:ascii="Calibri" w:hAnsi="Calibri" w:cs="Calibri"/>
          <w:sz w:val="26"/>
          <w:szCs w:val="26"/>
        </w:rPr>
        <w:t xml:space="preserve"> mensile a: Triester Zeitung. - TSA1033871</w:t>
      </w:r>
    </w:p>
    <w:p w14:paraId="0A5D9B31" w14:textId="6EA25BF6" w:rsidR="0013769E" w:rsidRPr="00CA0D20" w:rsidRDefault="001666B4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A0D20">
        <w:rPr>
          <w:rFonts w:ascii="Calibri" w:hAnsi="Calibri" w:cs="Calibri"/>
          <w:sz w:val="26"/>
          <w:szCs w:val="26"/>
        </w:rPr>
        <w:t xml:space="preserve">Redattori: </w:t>
      </w:r>
      <w:r w:rsidRPr="00CA0D20">
        <w:rPr>
          <w:rFonts w:ascii="Calibri" w:hAnsi="Calibri" w:cs="Calibri"/>
          <w:sz w:val="26"/>
          <w:szCs w:val="26"/>
        </w:rPr>
        <w:t xml:space="preserve">Löwenthal, </w:t>
      </w:r>
      <w:proofErr w:type="gramStart"/>
      <w:r w:rsidRPr="00CA0D20">
        <w:rPr>
          <w:rFonts w:ascii="Calibri" w:hAnsi="Calibri" w:cs="Calibri"/>
          <w:sz w:val="26"/>
          <w:szCs w:val="26"/>
        </w:rPr>
        <w:t xml:space="preserve">Jakob </w:t>
      </w:r>
      <w:r w:rsidRPr="00CA0D20">
        <w:rPr>
          <w:rFonts w:ascii="Calibri" w:hAnsi="Calibri" w:cs="Calibri"/>
          <w:sz w:val="26"/>
          <w:szCs w:val="26"/>
        </w:rPr>
        <w:t>;</w:t>
      </w:r>
      <w:proofErr w:type="gramEnd"/>
      <w:r w:rsidRPr="00CA0D20">
        <w:rPr>
          <w:rFonts w:ascii="Calibri" w:hAnsi="Calibri" w:cs="Calibri"/>
          <w:sz w:val="26"/>
          <w:szCs w:val="26"/>
        </w:rPr>
        <w:t xml:space="preserve"> </w:t>
      </w:r>
      <w:r w:rsidRPr="001666B4">
        <w:rPr>
          <w:rFonts w:ascii="Calibri" w:hAnsi="Calibri" w:cs="Calibri"/>
          <w:sz w:val="26"/>
          <w:szCs w:val="26"/>
        </w:rPr>
        <w:t xml:space="preserve">Pipitz, Franz Ernst </w:t>
      </w:r>
    </w:p>
    <w:p w14:paraId="650BF49B" w14:textId="08A36DB9" w:rsidR="001666B4" w:rsidRPr="00CA0D20" w:rsidRDefault="001666B4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A0D20">
        <w:rPr>
          <w:rFonts w:ascii="Calibri" w:hAnsi="Calibri" w:cs="Calibri"/>
          <w:sz w:val="26"/>
          <w:szCs w:val="26"/>
        </w:rPr>
        <w:t xml:space="preserve">Soggetto: </w:t>
      </w:r>
      <w:r w:rsidRPr="00CA0D20">
        <w:rPr>
          <w:rFonts w:ascii="Calibri" w:hAnsi="Calibri" w:cs="Calibri"/>
          <w:sz w:val="26"/>
          <w:szCs w:val="26"/>
        </w:rPr>
        <w:t>Marina mercantile austriaca - 185</w:t>
      </w:r>
      <w:r w:rsidRPr="00CA0D20">
        <w:rPr>
          <w:rFonts w:ascii="Calibri" w:hAnsi="Calibri" w:cs="Calibri"/>
          <w:sz w:val="26"/>
          <w:szCs w:val="26"/>
        </w:rPr>
        <w:t>3</w:t>
      </w:r>
      <w:r w:rsidRPr="00CA0D20">
        <w:rPr>
          <w:rFonts w:ascii="Calibri" w:hAnsi="Calibri" w:cs="Calibri"/>
          <w:sz w:val="26"/>
          <w:szCs w:val="26"/>
        </w:rPr>
        <w:t>-1</w:t>
      </w:r>
      <w:r w:rsidRPr="00CA0D20">
        <w:rPr>
          <w:rFonts w:ascii="Calibri" w:hAnsi="Calibri" w:cs="Calibri"/>
          <w:sz w:val="26"/>
          <w:szCs w:val="26"/>
        </w:rPr>
        <w:t xml:space="preserve">859; </w:t>
      </w:r>
      <w:r w:rsidRPr="00CA0D20">
        <w:rPr>
          <w:rFonts w:ascii="Calibri" w:hAnsi="Calibri" w:cs="Calibri"/>
          <w:sz w:val="26"/>
          <w:szCs w:val="26"/>
        </w:rPr>
        <w:t>Marina m</w:t>
      </w:r>
      <w:r w:rsidRPr="00CA0D20">
        <w:rPr>
          <w:rFonts w:ascii="Calibri" w:hAnsi="Calibri" w:cs="Calibri"/>
          <w:sz w:val="26"/>
          <w:szCs w:val="26"/>
        </w:rPr>
        <w:t>ilitare</w:t>
      </w:r>
      <w:r w:rsidRPr="00CA0D20">
        <w:rPr>
          <w:rFonts w:ascii="Calibri" w:hAnsi="Calibri" w:cs="Calibri"/>
          <w:sz w:val="26"/>
          <w:szCs w:val="26"/>
        </w:rPr>
        <w:t xml:space="preserve"> austriaca - 1853-1859</w:t>
      </w:r>
    </w:p>
    <w:p w14:paraId="7E248358" w14:textId="21706518" w:rsidR="001666B4" w:rsidRPr="00CA0D20" w:rsidRDefault="001666B4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A0D20">
        <w:rPr>
          <w:rFonts w:ascii="Calibri" w:hAnsi="Calibri" w:cs="Calibri"/>
          <w:b/>
          <w:bCs/>
          <w:color w:val="C00000"/>
          <w:sz w:val="26"/>
          <w:szCs w:val="26"/>
        </w:rPr>
        <w:t>Copia digitale</w:t>
      </w:r>
      <w:r w:rsidRPr="00CA0D20">
        <w:rPr>
          <w:rFonts w:ascii="Calibri" w:hAnsi="Calibri" w:cs="Calibri"/>
          <w:sz w:val="26"/>
          <w:szCs w:val="26"/>
        </w:rPr>
        <w:t xml:space="preserve">: </w:t>
      </w:r>
      <w:hyperlink r:id="rId13" w:history="1">
        <w:r w:rsidRPr="00CA0D20">
          <w:rPr>
            <w:rStyle w:val="Collegamentoipertestuale"/>
            <w:rFonts w:ascii="Calibri" w:hAnsi="Calibri" w:cs="Calibri"/>
            <w:sz w:val="26"/>
            <w:szCs w:val="26"/>
          </w:rPr>
          <w:t>1(1853)</w:t>
        </w:r>
      </w:hyperlink>
      <w:r w:rsidRPr="00CA0D20">
        <w:rPr>
          <w:rFonts w:ascii="Calibri" w:hAnsi="Calibri" w:cs="Calibri"/>
          <w:sz w:val="26"/>
          <w:szCs w:val="26"/>
        </w:rPr>
        <w:t xml:space="preserve">; </w:t>
      </w:r>
      <w:hyperlink r:id="rId14" w:anchor="v=onepage&amp;q&amp;f=false" w:history="1">
        <w:r w:rsidRPr="00CA0D20">
          <w:rPr>
            <w:rStyle w:val="Collegamentoipertestuale"/>
            <w:rFonts w:ascii="Calibri" w:hAnsi="Calibri" w:cs="Calibri"/>
            <w:sz w:val="26"/>
            <w:szCs w:val="26"/>
          </w:rPr>
          <w:t>4(1856)</w:t>
        </w:r>
      </w:hyperlink>
    </w:p>
    <w:p w14:paraId="6A0B1BBA" w14:textId="77777777" w:rsidR="001666B4" w:rsidRPr="00CA0D20" w:rsidRDefault="001666B4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3189979B" w14:textId="56B57530" w:rsidR="009D6AF9" w:rsidRPr="00CA0D20" w:rsidRDefault="009D6AF9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A0D20">
        <w:rPr>
          <w:rFonts w:ascii="Calibri" w:hAnsi="Calibri" w:cs="Calibri"/>
          <w:b/>
          <w:bCs/>
          <w:sz w:val="26"/>
          <w:szCs w:val="26"/>
        </w:rPr>
        <w:t xml:space="preserve">*Triester </w:t>
      </w:r>
      <w:proofErr w:type="gramStart"/>
      <w:r w:rsidRPr="00CA0D20">
        <w:rPr>
          <w:rFonts w:ascii="Calibri" w:hAnsi="Calibri" w:cs="Calibri"/>
          <w:b/>
          <w:bCs/>
          <w:sz w:val="26"/>
          <w:szCs w:val="26"/>
        </w:rPr>
        <w:t xml:space="preserve">Tagblatt </w:t>
      </w:r>
      <w:r w:rsidRPr="00CA0D20">
        <w:rPr>
          <w:rFonts w:ascii="Calibri" w:hAnsi="Calibri" w:cs="Calibri"/>
          <w:bCs/>
          <w:sz w:val="26"/>
          <w:szCs w:val="26"/>
        </w:rPr>
        <w:t>:</w:t>
      </w:r>
      <w:proofErr w:type="gramEnd"/>
      <w:r w:rsidRPr="00CA0D20">
        <w:rPr>
          <w:rFonts w:ascii="Calibri" w:hAnsi="Calibri" w:cs="Calibri"/>
          <w:bCs/>
          <w:sz w:val="26"/>
          <w:szCs w:val="26"/>
        </w:rPr>
        <w:t xml:space="preserve"> Morgenausgabe der Triester Zeitung.</w:t>
      </w:r>
      <w:r w:rsidRPr="00CA0D20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CA0D20">
        <w:rPr>
          <w:rFonts w:ascii="Calibri" w:hAnsi="Calibri" w:cs="Calibri"/>
          <w:sz w:val="26"/>
          <w:szCs w:val="26"/>
        </w:rPr>
        <w:t xml:space="preserve">- </w:t>
      </w:r>
      <w:proofErr w:type="gramStart"/>
      <w:r w:rsidRPr="00CA0D20">
        <w:rPr>
          <w:rFonts w:ascii="Calibri" w:hAnsi="Calibri" w:cs="Calibri"/>
          <w:sz w:val="26"/>
          <w:szCs w:val="26"/>
        </w:rPr>
        <w:t>Trieste :</w:t>
      </w:r>
      <w:proofErr w:type="gramEnd"/>
      <w:r w:rsidRPr="00CA0D20">
        <w:rPr>
          <w:rFonts w:ascii="Calibri" w:hAnsi="Calibri" w:cs="Calibri"/>
          <w:sz w:val="26"/>
          <w:szCs w:val="26"/>
        </w:rPr>
        <w:t xml:space="preserve"> Lloyd S. Reumann, 1880-1918. – 39 </w:t>
      </w:r>
      <w:proofErr w:type="gramStart"/>
      <w:r w:rsidRPr="00CA0D20">
        <w:rPr>
          <w:rFonts w:ascii="Calibri" w:hAnsi="Calibri" w:cs="Calibri"/>
          <w:sz w:val="26"/>
          <w:szCs w:val="26"/>
        </w:rPr>
        <w:t>volumi ;</w:t>
      </w:r>
      <w:proofErr w:type="gramEnd"/>
      <w:r w:rsidRPr="00CA0D20">
        <w:rPr>
          <w:rFonts w:ascii="Calibri" w:hAnsi="Calibri" w:cs="Calibri"/>
          <w:sz w:val="26"/>
          <w:szCs w:val="26"/>
        </w:rPr>
        <w:t xml:space="preserve">  52 cm. ((Quotidiano. - Descrizione basata su: Jahrgang 35, n. 10322 (24 Februar 1914). - IEI0114189</w:t>
      </w:r>
    </w:p>
    <w:p w14:paraId="5B0ED423" w14:textId="77777777" w:rsidR="00B54E48" w:rsidRPr="00CA0D20" w:rsidRDefault="009D6AF9" w:rsidP="00B54E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CA0D20">
        <w:rPr>
          <w:rFonts w:ascii="Calibri" w:hAnsi="Calibri" w:cs="Calibri"/>
          <w:b/>
          <w:bCs/>
          <w:color w:val="C00000"/>
          <w:sz w:val="26"/>
          <w:szCs w:val="26"/>
        </w:rPr>
        <w:t>Copia digitale</w:t>
      </w:r>
      <w:r w:rsidRPr="00CA0D20">
        <w:rPr>
          <w:rFonts w:ascii="Calibri" w:hAnsi="Calibri" w:cs="Calibri"/>
          <w:color w:val="C00000"/>
          <w:sz w:val="26"/>
          <w:szCs w:val="26"/>
        </w:rPr>
        <w:t xml:space="preserve"> </w:t>
      </w:r>
      <w:hyperlink r:id="rId15" w:history="1">
        <w:r w:rsidRPr="00CA0D20">
          <w:rPr>
            <w:rStyle w:val="Collegamentoipertestuale"/>
            <w:rFonts w:ascii="Calibri" w:hAnsi="Calibri" w:cs="Calibri"/>
            <w:sz w:val="26"/>
            <w:szCs w:val="26"/>
          </w:rPr>
          <w:t>1914-1918</w:t>
        </w:r>
      </w:hyperlink>
    </w:p>
    <w:p w14:paraId="470A16A6" w14:textId="77777777" w:rsidR="0031062F" w:rsidRPr="00CA0D20" w:rsidRDefault="0031062F" w:rsidP="00B54E48">
      <w:pPr>
        <w:spacing w:after="0" w:line="240" w:lineRule="auto"/>
        <w:jc w:val="both"/>
        <w:rPr>
          <w:sz w:val="26"/>
          <w:szCs w:val="26"/>
        </w:rPr>
      </w:pPr>
    </w:p>
    <w:p w14:paraId="50AFCF2F" w14:textId="0FBBEB94" w:rsidR="00B54E48" w:rsidRPr="00CA0D20" w:rsidRDefault="00B54E48" w:rsidP="00B54E48">
      <w:pPr>
        <w:spacing w:after="0" w:line="240" w:lineRule="auto"/>
        <w:jc w:val="both"/>
        <w:rPr>
          <w:sz w:val="26"/>
          <w:szCs w:val="26"/>
        </w:rPr>
      </w:pPr>
      <w:r w:rsidRPr="00CA0D20">
        <w:rPr>
          <w:sz w:val="26"/>
          <w:szCs w:val="26"/>
        </w:rPr>
        <w:t>Soggetto: Trieste - Dominazione austriaca - 1851-1918</w:t>
      </w:r>
    </w:p>
    <w:p w14:paraId="7C7915D8" w14:textId="77777777" w:rsidR="00B54E48" w:rsidRDefault="00B54E48" w:rsidP="00B54E48">
      <w:pPr>
        <w:spacing w:after="0" w:line="240" w:lineRule="auto"/>
        <w:jc w:val="both"/>
      </w:pPr>
    </w:p>
    <w:p w14:paraId="5134FDE0" w14:textId="723A4889" w:rsidR="0013769E" w:rsidRDefault="0013769E" w:rsidP="00B54E48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6A022B80" w14:textId="200AD37D" w:rsidR="0013769E" w:rsidRPr="001666B4" w:rsidRDefault="0013769E" w:rsidP="00B54E48">
      <w:p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 xml:space="preserve">Il </w:t>
      </w:r>
      <w:r w:rsidRPr="001666B4">
        <w:rPr>
          <w:b/>
          <w:bCs/>
          <w:sz w:val="24"/>
          <w:szCs w:val="24"/>
        </w:rPr>
        <w:t>Triester Zeitung</w:t>
      </w:r>
      <w:r w:rsidRPr="001666B4">
        <w:rPr>
          <w:sz w:val="24"/>
          <w:szCs w:val="24"/>
        </w:rPr>
        <w:t xml:space="preserve"> era un </w:t>
      </w:r>
      <w:hyperlink r:id="rId16" w:tooltip="Giornali giornalieri" w:history="1">
        <w:r w:rsidRPr="001666B4">
          <w:rPr>
            <w:rStyle w:val="Collegamentoipertestuale"/>
            <w:sz w:val="24"/>
            <w:szCs w:val="24"/>
          </w:rPr>
          <w:t>quotidiano</w:t>
        </w:r>
      </w:hyperlink>
      <w:r w:rsidRPr="001666B4">
        <w:rPr>
          <w:sz w:val="24"/>
          <w:szCs w:val="24"/>
        </w:rPr>
        <w:t xml:space="preserve"> in lingua tedesca, che fu pubblicato a </w:t>
      </w:r>
      <w:hyperlink r:id="rId17" w:tooltip="Trieste e il nostro" w:history="1">
        <w:r w:rsidRPr="001666B4">
          <w:rPr>
            <w:rStyle w:val="Collegamentoipertestuale"/>
            <w:sz w:val="24"/>
            <w:szCs w:val="24"/>
          </w:rPr>
          <w:t>Trieste</w:t>
        </w:r>
      </w:hyperlink>
      <w:r w:rsidRPr="001666B4">
        <w:rPr>
          <w:sz w:val="24"/>
          <w:szCs w:val="24"/>
        </w:rPr>
        <w:t xml:space="preserve"> nella </w:t>
      </w:r>
      <w:hyperlink r:id="rId18" w:tooltip="La monarchia asburgica" w:history="1">
        <w:r w:rsidRPr="001666B4">
          <w:rPr>
            <w:rStyle w:val="Collegamentoipertestuale"/>
            <w:sz w:val="24"/>
            <w:szCs w:val="24"/>
          </w:rPr>
          <w:t>monarchia asburgica</w:t>
        </w:r>
      </w:hyperlink>
      <w:r w:rsidRPr="001666B4">
        <w:rPr>
          <w:sz w:val="24"/>
          <w:szCs w:val="24"/>
        </w:rPr>
        <w:t xml:space="preserve"> dal 1851 al 1918. </w:t>
      </w:r>
      <w:r w:rsidR="00B54E48" w:rsidRPr="001666B4">
        <w:rPr>
          <w:sz w:val="24"/>
          <w:szCs w:val="24"/>
        </w:rPr>
        <w:t xml:space="preserve"> </w:t>
      </w:r>
      <w:r w:rsidRPr="001666B4">
        <w:rPr>
          <w:sz w:val="24"/>
          <w:szCs w:val="24"/>
        </w:rPr>
        <w:t xml:space="preserve">Fu l'unico giornale </w:t>
      </w:r>
      <w:hyperlink r:id="rId19" w:tooltip="Regione costiera austriaca" w:history="1">
        <w:r w:rsidRPr="001666B4">
          <w:rPr>
            <w:rStyle w:val="Collegamentoipertestuale"/>
            <w:sz w:val="24"/>
            <w:szCs w:val="24"/>
          </w:rPr>
          <w:t>di</w:t>
        </w:r>
      </w:hyperlink>
      <w:r w:rsidRPr="001666B4">
        <w:rPr>
          <w:sz w:val="24"/>
          <w:szCs w:val="24"/>
        </w:rPr>
        <w:t xml:space="preserve"> lingua tedesca della monarchia che apparve per un periodo di tempo più lungo. Come il suo predecessore, </w:t>
      </w:r>
      <w:r w:rsidRPr="001666B4">
        <w:rPr>
          <w:i/>
          <w:iCs/>
          <w:sz w:val="24"/>
          <w:szCs w:val="24"/>
        </w:rPr>
        <w:t>Journal des Österreichischen Lloyd</w:t>
      </w:r>
      <w:r w:rsidRPr="001666B4">
        <w:rPr>
          <w:sz w:val="24"/>
          <w:szCs w:val="24"/>
        </w:rPr>
        <w:t xml:space="preserve"> (1835-1848), fu pubblicata dalla casa editrice del </w:t>
      </w:r>
      <w:hyperlink r:id="rId20" w:tooltip="Il Lloyd austriaco" w:history="1">
        <w:r w:rsidRPr="001666B4">
          <w:rPr>
            <w:rStyle w:val="Collegamentoipertestuale"/>
            <w:sz w:val="24"/>
            <w:szCs w:val="24"/>
          </w:rPr>
          <w:t>Lloyd austriaco</w:t>
        </w:r>
      </w:hyperlink>
      <w:r w:rsidRPr="001666B4">
        <w:rPr>
          <w:sz w:val="24"/>
          <w:szCs w:val="24"/>
        </w:rPr>
        <w:t>. Il suo scopo principale era quello di riferire sul commercio marittimo in Europa e in Asia, ma ha anche fornito notizie politiche.</w:t>
      </w:r>
      <w:hyperlink r:id="rId21" w:anchor="cite_note-:0-1" w:history="1">
        <w:r w:rsidRPr="001666B4">
          <w:rPr>
            <w:rStyle w:val="Collegamentoipertestuale"/>
            <w:sz w:val="24"/>
            <w:szCs w:val="24"/>
            <w:vertAlign w:val="superscript"/>
          </w:rPr>
          <w:t xml:space="preserve">. </w:t>
        </w:r>
      </w:hyperlink>
      <w:r w:rsidRPr="001666B4">
        <w:rPr>
          <w:sz w:val="24"/>
          <w:szCs w:val="24"/>
        </w:rPr>
        <w:t xml:space="preserve">A causa della sua dipendenza dal governo di Vienna – il </w:t>
      </w:r>
      <w:r w:rsidRPr="001666B4">
        <w:rPr>
          <w:i/>
          <w:iCs/>
          <w:sz w:val="24"/>
          <w:szCs w:val="24"/>
        </w:rPr>
        <w:t>Triester Zeitung</w:t>
      </w:r>
      <w:r w:rsidRPr="001666B4">
        <w:rPr>
          <w:sz w:val="24"/>
          <w:szCs w:val="24"/>
        </w:rPr>
        <w:t xml:space="preserve"> ha ricevuto sussidi statali</w:t>
      </w:r>
      <w:hyperlink r:id="rId22" w:anchor="cite_note-:0-1" w:history="1">
        <w:r w:rsidRPr="001666B4">
          <w:rPr>
            <w:rStyle w:val="Collegamentoipertestuale"/>
            <w:sz w:val="24"/>
            <w:szCs w:val="24"/>
            <w:vertAlign w:val="superscript"/>
          </w:rPr>
          <w:t>[[1]</w:t>
        </w:r>
      </w:hyperlink>
      <w:r w:rsidRPr="001666B4">
        <w:rPr>
          <w:sz w:val="24"/>
          <w:szCs w:val="24"/>
        </w:rPr>
        <w:t xml:space="preserve"> – ha fondamentalmente rappresentato una posizione vicina al governo. Allo stesso tempo, tuttavia, il giornale serviva anche come portavoce della popolazione di lingua tedesca della città, per la cui vita culturale </w:t>
      </w:r>
      <w:proofErr w:type="gramStart"/>
      <w:r w:rsidRPr="001666B4">
        <w:rPr>
          <w:sz w:val="24"/>
          <w:szCs w:val="24"/>
        </w:rPr>
        <w:t>la feuilleton</w:t>
      </w:r>
      <w:proofErr w:type="gramEnd"/>
      <w:r w:rsidRPr="001666B4">
        <w:rPr>
          <w:sz w:val="24"/>
          <w:szCs w:val="24"/>
        </w:rPr>
        <w:t xml:space="preserve"> è una fonte importante. Come risultato della diffusione delle correnti liberali in città, il "costituzionale" </w:t>
      </w:r>
      <w:r w:rsidRPr="001666B4">
        <w:rPr>
          <w:i/>
          <w:iCs/>
          <w:sz w:val="24"/>
          <w:szCs w:val="24"/>
        </w:rPr>
        <w:t>Triester Tagblatt</w:t>
      </w:r>
      <w:r w:rsidRPr="001666B4">
        <w:rPr>
          <w:sz w:val="24"/>
          <w:szCs w:val="24"/>
        </w:rPr>
        <w:t xml:space="preserve"> </w:t>
      </w:r>
      <w:r w:rsidRPr="001666B4">
        <w:rPr>
          <w:sz w:val="24"/>
          <w:szCs w:val="24"/>
        </w:rPr>
        <w:lastRenderedPageBreak/>
        <w:t xml:space="preserve">apparve come giornale concorrente nel 1880, ma non poté prevalere. Verso i primi di gennaio 1886 si fondeva con il </w:t>
      </w:r>
      <w:r w:rsidRPr="001666B4">
        <w:rPr>
          <w:i/>
          <w:iCs/>
          <w:sz w:val="24"/>
          <w:szCs w:val="24"/>
        </w:rPr>
        <w:t>Triester Zeitung</w:t>
      </w:r>
      <w:r w:rsidRPr="001666B4">
        <w:rPr>
          <w:sz w:val="24"/>
          <w:szCs w:val="24"/>
        </w:rPr>
        <w:t xml:space="preserve"> e mantenne il nome con l'aggiunta "Edizione mattutino del Triester Zeitung.</w:t>
      </w:r>
      <w:r w:rsidRPr="001666B4">
        <w:rPr>
          <w:sz w:val="24"/>
          <w:szCs w:val="24"/>
          <w:vertAlign w:val="superscript"/>
        </w:rPr>
        <w:t xml:space="preserve"> </w:t>
      </w:r>
      <w:r w:rsidRPr="001666B4">
        <w:rPr>
          <w:sz w:val="24"/>
          <w:szCs w:val="24"/>
        </w:rPr>
        <w:t xml:space="preserve">Allo stesso tempo, il </w:t>
      </w:r>
      <w:r w:rsidRPr="001666B4">
        <w:rPr>
          <w:i/>
          <w:iCs/>
          <w:sz w:val="24"/>
          <w:szCs w:val="24"/>
        </w:rPr>
        <w:t>quotidiano Triester Zeitung</w:t>
      </w:r>
      <w:r w:rsidRPr="001666B4">
        <w:rPr>
          <w:sz w:val="24"/>
          <w:szCs w:val="24"/>
        </w:rPr>
        <w:t xml:space="preserve"> è stato pubblicato come giornale serale da ora in poi con l'aggiunta dell'"edizione serale".</w:t>
      </w:r>
      <w:hyperlink r:id="rId23" w:anchor="cite_note-3" w:history="1">
        <w:r w:rsidRPr="001666B4">
          <w:rPr>
            <w:rStyle w:val="Collegamentoipertestuale"/>
            <w:sz w:val="24"/>
            <w:szCs w:val="24"/>
            <w:vertAlign w:val="superscript"/>
          </w:rPr>
          <w:t>[3]</w:t>
        </w:r>
      </w:hyperlink>
      <w:hyperlink r:id="rId24" w:anchor="cite_note-Boaglio-4" w:history="1">
        <w:r w:rsidRPr="001666B4">
          <w:rPr>
            <w:rStyle w:val="Collegamentoipertestuale"/>
            <w:sz w:val="24"/>
            <w:szCs w:val="24"/>
            <w:vertAlign w:val="superscript"/>
          </w:rPr>
          <w:t>[4]</w:t>
        </w:r>
      </w:hyperlink>
      <w:r w:rsidRPr="001666B4">
        <w:rPr>
          <w:sz w:val="24"/>
          <w:szCs w:val="24"/>
        </w:rPr>
        <w:t xml:space="preserve">Il </w:t>
      </w:r>
      <w:r w:rsidRPr="001666B4">
        <w:rPr>
          <w:i/>
          <w:iCs/>
          <w:sz w:val="24"/>
          <w:szCs w:val="24"/>
        </w:rPr>
        <w:t>Triester Zeitung</w:t>
      </w:r>
      <w:r w:rsidRPr="001666B4">
        <w:rPr>
          <w:sz w:val="24"/>
          <w:szCs w:val="24"/>
        </w:rPr>
        <w:t xml:space="preserve"> era composto da quattro pagine, con l'ultima pagina limitata alle pubblicità. Nel corso della </w:t>
      </w:r>
      <w:hyperlink r:id="rId25" w:tooltip="La prima guerra mondiale" w:history="1">
        <w:r w:rsidRPr="001666B4">
          <w:rPr>
            <w:rStyle w:val="Collegamentoipertestuale"/>
            <w:sz w:val="24"/>
            <w:szCs w:val="24"/>
          </w:rPr>
          <w:t>prima guerra mondiale,</w:t>
        </w:r>
      </w:hyperlink>
      <w:r w:rsidRPr="001666B4">
        <w:rPr>
          <w:sz w:val="24"/>
          <w:szCs w:val="24"/>
        </w:rPr>
        <w:t xml:space="preserve"> l'edizione fu ridotta a due pagine e apparve solo alla sezione notizie</w:t>
      </w:r>
      <w:hyperlink r:id="rId26" w:anchor="cite_note-5" w:history="1">
        <w:r w:rsidRPr="001666B4">
          <w:rPr>
            <w:rStyle w:val="Collegamentoipertestuale"/>
            <w:sz w:val="24"/>
            <w:szCs w:val="24"/>
            <w:vertAlign w:val="superscript"/>
          </w:rPr>
          <w:t>. 5]</w:t>
        </w:r>
      </w:hyperlink>
      <w:r w:rsidRPr="001666B4">
        <w:rPr>
          <w:sz w:val="24"/>
          <w:szCs w:val="24"/>
        </w:rPr>
        <w:t xml:space="preserve"> L'ultimo numero è stato pubblicato il 2 Novembre 1918, un giorno prima della firma </w:t>
      </w:r>
      <w:hyperlink r:id="rId27" w:tooltip="Cacciato di Villa Giusti" w:history="1">
        <w:r w:rsidRPr="001666B4">
          <w:rPr>
            <w:rStyle w:val="Collegamentoipertestuale"/>
            <w:sz w:val="24"/>
            <w:szCs w:val="24"/>
          </w:rPr>
          <w:t>dell'armistizio di Villa Giusti</w:t>
        </w:r>
      </w:hyperlink>
      <w:r w:rsidRPr="001666B4">
        <w:rPr>
          <w:sz w:val="24"/>
          <w:szCs w:val="24"/>
        </w:rPr>
        <w:t xml:space="preserve"> e l'invasione di Trieste da parte delle truppe italiane.</w:t>
      </w:r>
      <w:hyperlink r:id="rId28" w:anchor="cite_note-Boaglio-4" w:history="1">
        <w:r w:rsidRPr="001666B4">
          <w:rPr>
            <w:rStyle w:val="Collegamentoipertestuale"/>
            <w:sz w:val="24"/>
            <w:szCs w:val="24"/>
            <w:vertAlign w:val="superscript"/>
          </w:rPr>
          <w:t>[4]</w:t>
        </w:r>
      </w:hyperlink>
      <w:r w:rsidRPr="001666B4">
        <w:rPr>
          <w:sz w:val="24"/>
          <w:szCs w:val="24"/>
        </w:rPr>
        <w:t xml:space="preserve"> </w:t>
      </w:r>
    </w:p>
    <w:p w14:paraId="60B643AE" w14:textId="77530C7E" w:rsidR="0013769E" w:rsidRPr="001666B4" w:rsidRDefault="0013769E" w:rsidP="00B54E48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66B4">
        <w:rPr>
          <w:b/>
          <w:bCs/>
          <w:sz w:val="24"/>
          <w:szCs w:val="24"/>
        </w:rPr>
        <w:t>Bibliografia</w:t>
      </w:r>
    </w:p>
    <w:p w14:paraId="4B4F5283" w14:textId="77777777" w:rsidR="0013769E" w:rsidRPr="001666B4" w:rsidRDefault="0013769E" w:rsidP="00B54E4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 xml:space="preserve">Gualtiero Boaglio: </w:t>
      </w:r>
      <w:r w:rsidRPr="001666B4">
        <w:rPr>
          <w:i/>
          <w:iCs/>
          <w:sz w:val="24"/>
          <w:szCs w:val="24"/>
        </w:rPr>
        <w:t>la stampa italiana.</w:t>
      </w:r>
      <w:r w:rsidRPr="001666B4">
        <w:rPr>
          <w:sz w:val="24"/>
          <w:szCs w:val="24"/>
        </w:rPr>
        <w:t xml:space="preserve"> </w:t>
      </w:r>
      <w:hyperlink r:id="rId29" w:tooltip="Testi di Helmut Rumpler" w:history="1">
        <w:r w:rsidRPr="001666B4">
          <w:rPr>
            <w:rStyle w:val="Collegamentoipertestuale"/>
            <w:sz w:val="24"/>
            <w:szCs w:val="24"/>
          </w:rPr>
          <w:t>Helmut Rumpler</w:t>
        </w:r>
      </w:hyperlink>
      <w:r w:rsidRPr="001666B4">
        <w:rPr>
          <w:sz w:val="24"/>
          <w:szCs w:val="24"/>
        </w:rPr>
        <w:t xml:space="preserve">, </w:t>
      </w:r>
      <w:hyperlink r:id="rId30" w:tooltip="Attività a Peter Urbanitsch" w:history="1">
        <w:r w:rsidRPr="001666B4">
          <w:rPr>
            <w:rStyle w:val="Collegamentoipertestuale"/>
            <w:sz w:val="24"/>
            <w:szCs w:val="24"/>
          </w:rPr>
          <w:t>Peter Urbanitsch</w:t>
        </w:r>
      </w:hyperlink>
      <w:r w:rsidRPr="001666B4">
        <w:rPr>
          <w:sz w:val="24"/>
          <w:szCs w:val="24"/>
        </w:rPr>
        <w:t xml:space="preserve"> (Ed.): </w:t>
      </w:r>
      <w:r w:rsidRPr="001666B4">
        <w:rPr>
          <w:i/>
          <w:iCs/>
          <w:sz w:val="24"/>
          <w:szCs w:val="24"/>
        </w:rPr>
        <w:t>Monarchia asburgica, Volume VIII: Società politica pubblica e civile. 2. Partizione: La stampa come fattore di mobilitazione politica.</w:t>
      </w:r>
      <w:r w:rsidRPr="001666B4">
        <w:rPr>
          <w:sz w:val="24"/>
          <w:szCs w:val="24"/>
        </w:rPr>
        <w:t xml:space="preserve"> Accademia delle scienze austriache, Vienna 2006, </w:t>
      </w:r>
      <w:hyperlink r:id="rId31" w:history="1">
        <w:r w:rsidRPr="001666B4">
          <w:rPr>
            <w:rStyle w:val="Collegamentoipertestuale"/>
            <w:sz w:val="24"/>
            <w:szCs w:val="24"/>
          </w:rPr>
          <w:t>ISBN 978-3-7001-3568-5</w:t>
        </w:r>
      </w:hyperlink>
      <w:r w:rsidRPr="001666B4">
        <w:rPr>
          <w:sz w:val="24"/>
          <w:szCs w:val="24"/>
        </w:rPr>
        <w:t>.</w:t>
      </w:r>
    </w:p>
    <w:p w14:paraId="3D1D3F6F" w14:textId="7FB69B0D" w:rsidR="0013769E" w:rsidRPr="001666B4" w:rsidRDefault="0013769E" w:rsidP="00B54E4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 xml:space="preserve">Silvana Monti-Orel: </w:t>
      </w:r>
      <w:r w:rsidRPr="001666B4">
        <w:rPr>
          <w:i/>
          <w:iCs/>
          <w:sz w:val="24"/>
          <w:szCs w:val="24"/>
        </w:rPr>
        <w:t>I giornali triestini dal 1863 al 1902: società e cultura di Trieste attraverso 576 quotidiani e periodici e periodici analizzati e loro contesto nel contesto storico.</w:t>
      </w:r>
      <w:r w:rsidRPr="001666B4">
        <w:rPr>
          <w:sz w:val="24"/>
          <w:szCs w:val="24"/>
        </w:rPr>
        <w:t xml:space="preserve"> LINT, Trieste 1976.</w:t>
      </w:r>
    </w:p>
    <w:p w14:paraId="261768FB" w14:textId="77777777" w:rsidR="0013769E" w:rsidRPr="001666B4" w:rsidRDefault="0013769E" w:rsidP="00B54E4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 xml:space="preserve">Anna Opela: </w:t>
      </w:r>
      <w:r w:rsidRPr="001666B4">
        <w:rPr>
          <w:i/>
          <w:iCs/>
          <w:sz w:val="24"/>
          <w:szCs w:val="24"/>
        </w:rPr>
        <w:t>“Dalla spiaggia dell’Adriatico” – Aspetti della cultura tedesco-austriaca a Trieste.</w:t>
      </w:r>
      <w:r w:rsidRPr="001666B4">
        <w:rPr>
          <w:sz w:val="24"/>
          <w:szCs w:val="24"/>
        </w:rPr>
        <w:t xml:space="preserve"> </w:t>
      </w:r>
      <w:hyperlink r:id="rId32" w:tooltip="Testi di Klaus Amann" w:history="1">
        <w:r w:rsidRPr="001666B4">
          <w:rPr>
            <w:rStyle w:val="Collegamentoipertestuale"/>
            <w:sz w:val="24"/>
            <w:szCs w:val="24"/>
          </w:rPr>
          <w:t>Klaus Amann</w:t>
        </w:r>
      </w:hyperlink>
      <w:r w:rsidRPr="001666B4">
        <w:rPr>
          <w:sz w:val="24"/>
          <w:szCs w:val="24"/>
        </w:rPr>
        <w:t xml:space="preserve">, </w:t>
      </w:r>
      <w:hyperlink r:id="rId33" w:tooltip="Karl Wagner (scienziato letterario)" w:history="1">
        <w:r w:rsidRPr="001666B4">
          <w:rPr>
            <w:rStyle w:val="Collegamentoipertestuale"/>
            <w:sz w:val="24"/>
            <w:szCs w:val="24"/>
          </w:rPr>
          <w:t>Karl Wagner</w:t>
        </w:r>
      </w:hyperlink>
      <w:r w:rsidRPr="001666B4">
        <w:rPr>
          <w:sz w:val="24"/>
          <w:szCs w:val="24"/>
        </w:rPr>
        <w:t xml:space="preserve"> (Eds.): </w:t>
      </w:r>
      <w:r w:rsidRPr="001666B4">
        <w:rPr>
          <w:i/>
          <w:iCs/>
          <w:sz w:val="24"/>
          <w:szCs w:val="24"/>
        </w:rPr>
        <w:t>Letteratura e nazione. La fondazione dell'Impero tedesco nel 1871 nella letteratura in lingua tedesca.</w:t>
      </w:r>
      <w:r w:rsidRPr="001666B4">
        <w:rPr>
          <w:sz w:val="24"/>
          <w:szCs w:val="24"/>
        </w:rPr>
        <w:t xml:space="preserve"> Vienna/Colonia/Weimar 1996, pp. 439–458.</w:t>
      </w:r>
    </w:p>
    <w:p w14:paraId="6B232EFC" w14:textId="77777777" w:rsidR="0013769E" w:rsidRPr="001666B4" w:rsidRDefault="0013769E" w:rsidP="00B54E4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hyperlink r:id="rId34" w:tooltip="Testi di Jàrg Riecke" w:history="1">
        <w:r w:rsidRPr="001666B4">
          <w:rPr>
            <w:rStyle w:val="Collegamentoipertestuale"/>
            <w:sz w:val="24"/>
            <w:szCs w:val="24"/>
          </w:rPr>
          <w:t>Jàrg Riecke</w:t>
        </w:r>
      </w:hyperlink>
      <w:r w:rsidRPr="001666B4">
        <w:rPr>
          <w:sz w:val="24"/>
          <w:szCs w:val="24"/>
        </w:rPr>
        <w:t xml:space="preserve">, Tina Theobald (Ed.): </w:t>
      </w:r>
      <w:r w:rsidRPr="001666B4">
        <w:rPr>
          <w:i/>
          <w:iCs/>
          <w:sz w:val="24"/>
          <w:szCs w:val="24"/>
        </w:rPr>
        <w:t>giornali in lingua tedesca in Europa orientale. - Un catalogo.</w:t>
      </w:r>
      <w:r w:rsidRPr="001666B4">
        <w:rPr>
          <w:sz w:val="24"/>
          <w:szCs w:val="24"/>
        </w:rPr>
        <w:t xml:space="preserve"> Brema 2019, S. 520-253.</w:t>
      </w:r>
    </w:p>
    <w:p w14:paraId="3FCE7687" w14:textId="77777777" w:rsidR="0013769E" w:rsidRPr="001666B4" w:rsidRDefault="0013769E" w:rsidP="00B54E4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 xml:space="preserve">Albert Weber: </w:t>
      </w:r>
      <w:r w:rsidRPr="001666B4">
        <w:rPr>
          <w:i/>
          <w:iCs/>
          <w:sz w:val="24"/>
          <w:szCs w:val="24"/>
        </w:rPr>
        <w:t>Bibliografia di periodici di lingua tedesca dell'Europa orientale. Parte 1: Giornali e riviste.</w:t>
      </w:r>
      <w:r w:rsidRPr="001666B4">
        <w:rPr>
          <w:sz w:val="24"/>
          <w:szCs w:val="24"/>
        </w:rPr>
        <w:t xml:space="preserve"> Regensburg 2013, S. 1017 (</w:t>
      </w:r>
      <w:hyperlink r:id="rId35" w:history="1">
        <w:r w:rsidRPr="001666B4">
          <w:rPr>
            <w:rStyle w:val="Collegamentoipertestuale"/>
            <w:sz w:val="24"/>
            <w:szCs w:val="24"/>
          </w:rPr>
          <w:t>copia digitale del ghiaccio</w:t>
        </w:r>
      </w:hyperlink>
      <w:r w:rsidRPr="001666B4">
        <w:rPr>
          <w:sz w:val="24"/>
          <w:szCs w:val="24"/>
        </w:rPr>
        <w:t>).</w:t>
      </w:r>
    </w:p>
    <w:p w14:paraId="6EA5F1FB" w14:textId="601A384B" w:rsidR="0013769E" w:rsidRPr="001666B4" w:rsidRDefault="0013769E" w:rsidP="00B54E4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 xml:space="preserve">Tanja Zigon: </w:t>
      </w:r>
      <w:r w:rsidRPr="001666B4">
        <w:rPr>
          <w:i/>
          <w:iCs/>
          <w:sz w:val="24"/>
          <w:szCs w:val="24"/>
        </w:rPr>
        <w:t>stampa in lingua tedesca in Slovenia (1707-1945). Parte 2 e 3: stampa in lingua tedesca a Krain dal 1860 al 1945.</w:t>
      </w:r>
      <w:r w:rsidRPr="001666B4">
        <w:rPr>
          <w:sz w:val="24"/>
          <w:szCs w:val="24"/>
        </w:rPr>
        <w:t xml:space="preserve"> </w:t>
      </w:r>
      <w:r w:rsidRPr="001666B4">
        <w:rPr>
          <w:i/>
          <w:iCs/>
          <w:sz w:val="24"/>
          <w:szCs w:val="24"/>
        </w:rPr>
        <w:t>Rapporti e ricerche. Annuario dell'Istituto federale per la cultura e la storia dei tedeschi nell'Europa orientale.</w:t>
      </w:r>
      <w:r w:rsidRPr="001666B4">
        <w:rPr>
          <w:sz w:val="24"/>
          <w:szCs w:val="24"/>
        </w:rPr>
        <w:t xml:space="preserve"> Volume 13 (2005), p. 127-154.</w:t>
      </w:r>
    </w:p>
    <w:p w14:paraId="6F411B53" w14:textId="7D109B2F" w:rsidR="0013769E" w:rsidRPr="001666B4" w:rsidRDefault="0013769E" w:rsidP="00B54E48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66B4">
        <w:rPr>
          <w:b/>
          <w:bCs/>
          <w:sz w:val="24"/>
          <w:szCs w:val="24"/>
        </w:rPr>
        <w:t>Saggi individuali</w:t>
      </w:r>
    </w:p>
    <w:p w14:paraId="3264459F" w14:textId="77777777" w:rsidR="0013769E" w:rsidRPr="001666B4" w:rsidRDefault="0013769E" w:rsidP="00B54E4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>Riecke / Theobald (Hrsg.): Deutschsprachige Zeitungen im östlichen Europa. 2019, S. 521–523.</w:t>
      </w:r>
    </w:p>
    <w:p w14:paraId="214C67B6" w14:textId="77777777" w:rsidR="0013769E" w:rsidRPr="001666B4" w:rsidRDefault="0013769E" w:rsidP="00B54E4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>Triester Tagblatt. Morgenausgabe der Triester Zeitung. Nr. 11790 – XXXIX. Jahrgang Donnerstag 31. Oktober 1918 (Digitalisat)</w:t>
      </w:r>
    </w:p>
    <w:p w14:paraId="4CCA2219" w14:textId="77777777" w:rsidR="0013769E" w:rsidRPr="001666B4" w:rsidRDefault="0013769E" w:rsidP="00B54E4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>Triester Zeitung. Abend-Ausgabe. Nr. 110 Donnerstag 9. Juli 1914 LXIV. Jahrgang (Digitalisat)</w:t>
      </w:r>
    </w:p>
    <w:p w14:paraId="29BEDB9D" w14:textId="77777777" w:rsidR="0013769E" w:rsidRPr="001666B4" w:rsidRDefault="0013769E" w:rsidP="00B54E4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>Gualtiero Boaglio: Das italienische Pressewesen. S. 1681.</w:t>
      </w:r>
    </w:p>
    <w:p w14:paraId="3B684144" w14:textId="40878324" w:rsidR="0013769E" w:rsidRPr="001666B4" w:rsidRDefault="0013769E" w:rsidP="00B54E4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 xml:space="preserve">Silvana Monti-Orel: I giornali triestini dal 1863 al 1902: societa e cultura di Trieste attraverso 576 quotidiani e periodici analizzati e descritti nel loro contesto storico. S. 585–586. </w:t>
      </w:r>
      <w:hyperlink r:id="rId36" w:history="1">
        <w:r w:rsidRPr="001666B4">
          <w:rPr>
            <w:rStyle w:val="Collegamentoipertestuale"/>
            <w:sz w:val="24"/>
            <w:szCs w:val="24"/>
          </w:rPr>
          <w:t>https://de.wikipedia.org/wiki/Triester_Zeitung</w:t>
        </w:r>
      </w:hyperlink>
      <w:r w:rsidRPr="001666B4">
        <w:rPr>
          <w:sz w:val="24"/>
          <w:szCs w:val="24"/>
        </w:rPr>
        <w:t>.</w:t>
      </w:r>
    </w:p>
    <w:p w14:paraId="739FD282" w14:textId="77777777" w:rsidR="0013769E" w:rsidRPr="001666B4" w:rsidRDefault="0013769E" w:rsidP="00B54E48">
      <w:pPr>
        <w:spacing w:after="0" w:line="240" w:lineRule="auto"/>
        <w:jc w:val="both"/>
        <w:rPr>
          <w:sz w:val="24"/>
          <w:szCs w:val="24"/>
        </w:rPr>
      </w:pPr>
    </w:p>
    <w:p w14:paraId="5D876B09" w14:textId="7488B448" w:rsidR="00B54E48" w:rsidRPr="001666B4" w:rsidRDefault="00B54E48" w:rsidP="00B54E48">
      <w:pPr>
        <w:spacing w:after="0" w:line="240" w:lineRule="auto"/>
        <w:jc w:val="both"/>
        <w:rPr>
          <w:sz w:val="24"/>
          <w:szCs w:val="24"/>
        </w:rPr>
      </w:pPr>
      <w:r w:rsidRPr="001666B4">
        <w:rPr>
          <w:sz w:val="24"/>
          <w:szCs w:val="24"/>
        </w:rPr>
        <w:t>Giornali in lingua tedesca ma stampati a Trieste Triester Tagblatt e Triester Zeitung. Sono scaricabili liberamente in formato PDF, in attesa di portare queste immagini nel sistema Divenire dell’Istituto. Il progetto è rivolto principalmente agli insegnanti e agli studenti di tutt’Italia, per fornire uno strumento di conoscenza sulla versione della guerra sul fronte opposto, da mettere a confronto con le notizie pubblicate in Italia</w:t>
      </w:r>
    </w:p>
    <w:p w14:paraId="24F27340" w14:textId="4C48085D" w:rsidR="009D6AF9" w:rsidRPr="001666B4" w:rsidRDefault="00B54E48" w:rsidP="00B54E48">
      <w:pPr>
        <w:spacing w:after="0" w:line="240" w:lineRule="auto"/>
        <w:jc w:val="both"/>
        <w:rPr>
          <w:sz w:val="24"/>
          <w:szCs w:val="24"/>
        </w:rPr>
      </w:pPr>
      <w:hyperlink r:id="rId37" w:history="1">
        <w:r w:rsidRPr="001666B4">
          <w:rPr>
            <w:rStyle w:val="Collegamentoipertestuale"/>
            <w:sz w:val="24"/>
            <w:szCs w:val="24"/>
          </w:rPr>
          <w:t>http://www.sed.beniculturali.it/index.php?it/171/archivio-progetti-banca-dati/RaccoltaProgetti/892</w:t>
        </w:r>
      </w:hyperlink>
      <w:r w:rsidRPr="001666B4">
        <w:rPr>
          <w:sz w:val="24"/>
          <w:szCs w:val="24"/>
        </w:rPr>
        <w:t xml:space="preserve">. </w:t>
      </w:r>
    </w:p>
    <w:sectPr w:rsidR="009D6AF9" w:rsidRPr="001666B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222A"/>
    <w:multiLevelType w:val="hybridMultilevel"/>
    <w:tmpl w:val="A8822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92934"/>
    <w:multiLevelType w:val="multilevel"/>
    <w:tmpl w:val="DA5E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34B05"/>
    <w:multiLevelType w:val="multilevel"/>
    <w:tmpl w:val="A71C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529071">
    <w:abstractNumId w:val="1"/>
  </w:num>
  <w:num w:numId="2" w16cid:durableId="1294561996">
    <w:abstractNumId w:val="2"/>
  </w:num>
  <w:num w:numId="3" w16cid:durableId="75559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3435"/>
    <w:rsid w:val="00123435"/>
    <w:rsid w:val="00134096"/>
    <w:rsid w:val="0013769E"/>
    <w:rsid w:val="001666B4"/>
    <w:rsid w:val="0031062F"/>
    <w:rsid w:val="003605E3"/>
    <w:rsid w:val="00375F4B"/>
    <w:rsid w:val="003811E4"/>
    <w:rsid w:val="00653982"/>
    <w:rsid w:val="00924921"/>
    <w:rsid w:val="009D6AF9"/>
    <w:rsid w:val="00B54E48"/>
    <w:rsid w:val="00C71CAA"/>
    <w:rsid w:val="00CA0D20"/>
    <w:rsid w:val="00D544E6"/>
    <w:rsid w:val="00E84EF4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3D2D"/>
  <w15:chartTrackingRefBased/>
  <w15:docId w15:val="{97E00DFD-0A7D-491A-A764-3AF5625D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AF9"/>
  </w:style>
  <w:style w:type="paragraph" w:styleId="Titolo1">
    <w:name w:val="heading 1"/>
    <w:basedOn w:val="Normale"/>
    <w:next w:val="Normale"/>
    <w:link w:val="Titolo1Carattere"/>
    <w:uiPriority w:val="9"/>
    <w:qFormat/>
    <w:rsid w:val="00123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343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3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343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3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3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3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3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34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34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343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343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34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34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34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34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3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34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3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34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34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343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343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34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343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343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9D6AF9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oks.google.it/books/about/Oesterreichische_Marine_Zeitschrift_Red.html?id=Myloqr0ruOkC&amp;redir_esc=y" TargetMode="External"/><Relationship Id="rId18" Type="http://schemas.openxmlformats.org/officeDocument/2006/relationships/hyperlink" Target="https://de.wikipedia.org/wiki/Habsburgermonarchie" TargetMode="External"/><Relationship Id="rId26" Type="http://schemas.openxmlformats.org/officeDocument/2006/relationships/hyperlink" Target="https://de.wikipedia.org/wiki/Triester_Zeitun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e.wikipedia.org/wiki/Triester_Zeitung" TargetMode="External"/><Relationship Id="rId34" Type="http://schemas.openxmlformats.org/officeDocument/2006/relationships/hyperlink" Target="https://de.wikipedia.org/wiki/J%C3%B6rg_Riecke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internetculturale.it/it/913/emeroteca-digitale-italiana/periodic/testata/8566" TargetMode="External"/><Relationship Id="rId17" Type="http://schemas.openxmlformats.org/officeDocument/2006/relationships/hyperlink" Target="https://de.wikipedia.org/wiki/Triest" TargetMode="External"/><Relationship Id="rId25" Type="http://schemas.openxmlformats.org/officeDocument/2006/relationships/hyperlink" Target="https://de.wikipedia.org/wiki/Erster_Weltkrieg" TargetMode="External"/><Relationship Id="rId33" Type="http://schemas.openxmlformats.org/officeDocument/2006/relationships/hyperlink" Target="https://de.wikipedia.org/wiki/Karl_Wagner_(Literaturwissenschaftler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.wikipedia.org/wiki/Tageszeitung" TargetMode="External"/><Relationship Id="rId20" Type="http://schemas.openxmlformats.org/officeDocument/2006/relationships/hyperlink" Target="https://de.wikipedia.org/wiki/%C3%96sterreichischer_Lloyd" TargetMode="External"/><Relationship Id="rId29" Type="http://schemas.openxmlformats.org/officeDocument/2006/relationships/hyperlink" Target="https://de.wikipedia.org/wiki/Helmut_Rumpl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ooks.google.it/books?id=oC6SYMyqriQC&amp;printsec=frontcover&amp;hl=it&amp;source=gbs_ge_summary_r&amp;cad=0" TargetMode="External"/><Relationship Id="rId24" Type="http://schemas.openxmlformats.org/officeDocument/2006/relationships/hyperlink" Target="https://de.wikipedia.org/wiki/Triester_Zeitung" TargetMode="External"/><Relationship Id="rId32" Type="http://schemas.openxmlformats.org/officeDocument/2006/relationships/hyperlink" Target="https://de.wikipedia.org/wiki/Klaus_Amann" TargetMode="External"/><Relationship Id="rId37" Type="http://schemas.openxmlformats.org/officeDocument/2006/relationships/hyperlink" Target="http://www.sed.beniculturali.it/index.php?it/171/archivio-progetti-banca-dati/RaccoltaProgetti/89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ternetculturale.it/it/913/emeroteca-digitale-italiana/periodic/testata/9472" TargetMode="External"/><Relationship Id="rId23" Type="http://schemas.openxmlformats.org/officeDocument/2006/relationships/hyperlink" Target="https://de.wikipedia.org/wiki/Triester_Zeitung" TargetMode="External"/><Relationship Id="rId28" Type="http://schemas.openxmlformats.org/officeDocument/2006/relationships/hyperlink" Target="https://de.wikipedia.org/wiki/Triester_Zeitung" TargetMode="External"/><Relationship Id="rId36" Type="http://schemas.openxmlformats.org/officeDocument/2006/relationships/hyperlink" Target="https://de.wikipedia.org/wiki/Triester_Zeitung" TargetMode="External"/><Relationship Id="rId10" Type="http://schemas.openxmlformats.org/officeDocument/2006/relationships/hyperlink" Target="https://giuliopalanga.com/wp-content/uploads/2021/08/XU825-1.docx" TargetMode="External"/><Relationship Id="rId19" Type="http://schemas.openxmlformats.org/officeDocument/2006/relationships/hyperlink" Target="https://de.wikipedia.org/wiki/%C3%96sterreichisches_K%C3%BCstenland" TargetMode="External"/><Relationship Id="rId31" Type="http://schemas.openxmlformats.org/officeDocument/2006/relationships/hyperlink" Target="https://de.wikipedia.org/wiki/Spezial:ISBN-Suche/978370013568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ooks.google.it/books?id=_HJ5NIP1HuoC&amp;printsec=frontcover&amp;hl=it&amp;source=gbs_ge_summary_r&amp;cad=0" TargetMode="External"/><Relationship Id="rId22" Type="http://schemas.openxmlformats.org/officeDocument/2006/relationships/hyperlink" Target="https://de.wikipedia.org/wiki/Triester_Zeitung" TargetMode="External"/><Relationship Id="rId27" Type="http://schemas.openxmlformats.org/officeDocument/2006/relationships/hyperlink" Target="https://de.wikipedia.org/wiki/Waffenstillstand_von_Villa_Giusti" TargetMode="External"/><Relationship Id="rId30" Type="http://schemas.openxmlformats.org/officeDocument/2006/relationships/hyperlink" Target="https://de.wikipedia.org/wiki/Peter_Urbanitsch" TargetMode="External"/><Relationship Id="rId35" Type="http://schemas.openxmlformats.org/officeDocument/2006/relationships/hyperlink" Target="https://leibniz-ios.de/fileadmin/mediamanager/010_publikationen/Bibliographie_deutschsprachiger_Periodika/Bestandsbibliographie_Zeitungen_Zeitschriften.pdf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2025-06-03T09:14:00Z</dcterms:created>
  <dcterms:modified xsi:type="dcterms:W3CDTF">2025-07-01T08:35:00Z</dcterms:modified>
</cp:coreProperties>
</file>