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14FFF" w14:textId="2252AD71" w:rsidR="004E6C2E" w:rsidRPr="003D25F0" w:rsidRDefault="004E6C2E" w:rsidP="00680C11">
      <w:pPr>
        <w:jc w:val="both"/>
        <w:rPr>
          <w:rFonts w:asciiTheme="minorHAnsi" w:hAnsiTheme="minorHAnsi" w:cstheme="minorHAnsi"/>
          <w:bCs/>
          <w:i/>
          <w:iCs/>
          <w:sz w:val="16"/>
          <w:szCs w:val="16"/>
        </w:rPr>
      </w:pPr>
      <w:bookmarkStart w:id="0" w:name="_Hlk219742694"/>
      <w:r w:rsidRPr="003D25F0">
        <w:rPr>
          <w:rFonts w:asciiTheme="minorHAnsi" w:hAnsiTheme="minorHAnsi" w:cstheme="minorHAnsi"/>
          <w:b/>
          <w:color w:val="C00000"/>
          <w:sz w:val="44"/>
          <w:szCs w:val="44"/>
        </w:rPr>
        <w:t>HX4111</w:t>
      </w:r>
      <w:r w:rsidRPr="003D25F0">
        <w:rPr>
          <w:rFonts w:asciiTheme="minorHAnsi" w:hAnsiTheme="minorHAnsi" w:cstheme="minorHAnsi"/>
          <w:bCs/>
          <w:i/>
          <w:iCs/>
          <w:sz w:val="22"/>
          <w:szCs w:val="22"/>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r>
      <w:r w:rsidRPr="003D25F0">
        <w:rPr>
          <w:rFonts w:asciiTheme="minorHAnsi" w:hAnsiTheme="minorHAnsi" w:cstheme="minorHAnsi"/>
          <w:bCs/>
          <w:i/>
          <w:iCs/>
          <w:sz w:val="16"/>
          <w:szCs w:val="16"/>
        </w:rPr>
        <w:tab/>
        <w:t>scheda creata il 19 gennaio 2026</w:t>
      </w:r>
    </w:p>
    <w:p w14:paraId="3AC6A38F" w14:textId="77777777" w:rsidR="004E6C2E" w:rsidRPr="003D25F0" w:rsidRDefault="004E6C2E" w:rsidP="00680C11">
      <w:pPr>
        <w:jc w:val="both"/>
        <w:rPr>
          <w:rFonts w:asciiTheme="minorHAnsi" w:hAnsiTheme="minorHAnsi" w:cstheme="minorHAnsi"/>
          <w:b/>
          <w:sz w:val="22"/>
          <w:szCs w:val="22"/>
        </w:rPr>
      </w:pPr>
      <w:r w:rsidRPr="003D25F0">
        <w:rPr>
          <w:rFonts w:asciiTheme="minorHAnsi" w:hAnsiTheme="minorHAnsi" w:cstheme="minorHAnsi"/>
          <w:b/>
          <w:color w:val="C00000"/>
          <w:sz w:val="44"/>
          <w:szCs w:val="44"/>
        </w:rPr>
        <w:t>Descrizione storico-bibliografica</w:t>
      </w:r>
      <w:r w:rsidRPr="003D25F0">
        <w:rPr>
          <w:rFonts w:asciiTheme="minorHAnsi" w:hAnsiTheme="minorHAnsi" w:cstheme="minorHAnsi"/>
          <w:b/>
          <w:sz w:val="22"/>
          <w:szCs w:val="22"/>
        </w:rPr>
        <w:t xml:space="preserve"> </w:t>
      </w:r>
    </w:p>
    <w:bookmarkEnd w:id="0"/>
    <w:p w14:paraId="20E96A69" w14:textId="2B9C1F46" w:rsidR="004E6C2E" w:rsidRPr="003D25F0" w:rsidRDefault="003054C0" w:rsidP="00680C11">
      <w:pPr>
        <w:jc w:val="both"/>
        <w:rPr>
          <w:rFonts w:asciiTheme="minorHAnsi" w:hAnsiTheme="minorHAnsi" w:cstheme="minorHAnsi"/>
          <w:bCs/>
          <w:sz w:val="22"/>
          <w:szCs w:val="22"/>
        </w:rPr>
      </w:pPr>
      <w:r w:rsidRPr="003D25F0">
        <w:rPr>
          <w:rFonts w:asciiTheme="minorHAnsi" w:hAnsiTheme="minorHAnsi" w:cstheme="minorHAnsi"/>
          <w:bCs/>
          <w:noProof/>
          <w:sz w:val="22"/>
          <w:szCs w:val="22"/>
        </w:rPr>
        <w:drawing>
          <wp:inline distT="0" distB="0" distL="0" distR="0" wp14:anchorId="40F08398" wp14:editId="5783AB9E">
            <wp:extent cx="2815200" cy="3960000"/>
            <wp:effectExtent l="0" t="0" r="4445" b="2540"/>
            <wp:docPr id="206710170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15200" cy="3960000"/>
                    </a:xfrm>
                    <a:prstGeom prst="rect">
                      <a:avLst/>
                    </a:prstGeom>
                    <a:noFill/>
                  </pic:spPr>
                </pic:pic>
              </a:graphicData>
            </a:graphic>
          </wp:inline>
        </w:drawing>
      </w:r>
      <w:r w:rsidRPr="003D25F0">
        <w:rPr>
          <w:rFonts w:asciiTheme="minorHAnsi" w:hAnsiTheme="minorHAnsi" w:cstheme="minorHAnsi"/>
          <w:bCs/>
          <w:noProof/>
          <w:sz w:val="22"/>
          <w:szCs w:val="22"/>
        </w:rPr>
        <w:drawing>
          <wp:inline distT="0" distB="0" distL="0" distR="0" wp14:anchorId="64D15AA6" wp14:editId="521FDE33">
            <wp:extent cx="2767965" cy="3963035"/>
            <wp:effectExtent l="0" t="0" r="0" b="0"/>
            <wp:docPr id="1394795502"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7965" cy="3963035"/>
                    </a:xfrm>
                    <a:prstGeom prst="rect">
                      <a:avLst/>
                    </a:prstGeom>
                    <a:noFill/>
                  </pic:spPr>
                </pic:pic>
              </a:graphicData>
            </a:graphic>
          </wp:inline>
        </w:drawing>
      </w:r>
    </w:p>
    <w:p w14:paraId="011FD6E2" w14:textId="38EA176C" w:rsidR="004E6C2E" w:rsidRPr="00680C11" w:rsidRDefault="004E6C2E" w:rsidP="00680C11">
      <w:pPr>
        <w:jc w:val="both"/>
        <w:rPr>
          <w:rFonts w:asciiTheme="minorHAnsi" w:hAnsiTheme="minorHAnsi" w:cstheme="minorHAnsi"/>
          <w:sz w:val="23"/>
          <w:szCs w:val="23"/>
        </w:rPr>
      </w:pPr>
      <w:r w:rsidRPr="00680C11">
        <w:rPr>
          <w:rFonts w:asciiTheme="minorHAnsi" w:hAnsiTheme="minorHAnsi" w:cstheme="minorHAnsi"/>
          <w:bCs/>
          <w:sz w:val="23"/>
          <w:szCs w:val="23"/>
        </w:rPr>
        <w:t>La</w:t>
      </w:r>
      <w:r w:rsidRPr="00680C11">
        <w:rPr>
          <w:rFonts w:asciiTheme="minorHAnsi" w:hAnsiTheme="minorHAnsi" w:cstheme="minorHAnsi"/>
          <w:b/>
          <w:bCs/>
          <w:sz w:val="23"/>
          <w:szCs w:val="23"/>
        </w:rPr>
        <w:t xml:space="preserve"> *pace</w:t>
      </w:r>
      <w:r w:rsidRPr="00680C11">
        <w:rPr>
          <w:rFonts w:asciiTheme="minorHAnsi" w:hAnsiTheme="minorHAnsi" w:cstheme="minorHAnsi"/>
          <w:bCs/>
          <w:sz w:val="23"/>
          <w:szCs w:val="23"/>
        </w:rPr>
        <w:t xml:space="preserve"> : periodico quindicinale antimilitarista, con supplemento letterario.</w:t>
      </w:r>
      <w:r w:rsidRPr="00680C11">
        <w:rPr>
          <w:rFonts w:asciiTheme="minorHAnsi" w:hAnsiTheme="minorHAnsi" w:cstheme="minorHAnsi"/>
          <w:b/>
          <w:bCs/>
          <w:sz w:val="23"/>
          <w:szCs w:val="23"/>
        </w:rPr>
        <w:t xml:space="preserve"> </w:t>
      </w:r>
      <w:r w:rsidRPr="00680C11">
        <w:rPr>
          <w:rFonts w:asciiTheme="minorHAnsi" w:hAnsiTheme="minorHAnsi" w:cstheme="minorHAnsi"/>
          <w:sz w:val="23"/>
          <w:szCs w:val="23"/>
        </w:rPr>
        <w:t>- Anno 1, n. 1 (2 agosto 1903)-anno 13 [1915?]. - Genova : Tip. Operaia, 1903-[1915?]. – 13 volumi : ill. ; 24-35 cm. ((Poi mensile. - Dir. resp.: Ezio Bartalini. - Il complemento del titolo varia: bollettino quotidiano d'informazioni per la stampa. - Sospeso dal 1911 al 1912 e dal 1915 al 1949. – Il formato varia. - BNI 1903-5488. - CFI0360679; TO01901986; MIL0416845</w:t>
      </w:r>
    </w:p>
    <w:p w14:paraId="4CAEED63" w14:textId="4F38C67E" w:rsidR="003D25F0" w:rsidRPr="00680C11" w:rsidRDefault="003D25F0" w:rsidP="00680C11">
      <w:pPr>
        <w:jc w:val="both"/>
        <w:rPr>
          <w:rFonts w:asciiTheme="minorHAnsi" w:hAnsiTheme="minorHAnsi" w:cstheme="minorHAnsi"/>
          <w:sz w:val="23"/>
          <w:szCs w:val="23"/>
        </w:rPr>
      </w:pPr>
      <w:r w:rsidRPr="00680C11">
        <w:rPr>
          <w:rFonts w:asciiTheme="minorHAnsi" w:hAnsiTheme="minorHAnsi" w:cstheme="minorHAnsi"/>
          <w:sz w:val="23"/>
          <w:szCs w:val="23"/>
        </w:rPr>
        <w:t>Dal 1910 al 1911 ha come supplemento: *Rompete le file [</w:t>
      </w:r>
      <w:r w:rsidR="00FE187E">
        <w:rPr>
          <w:rFonts w:asciiTheme="minorHAnsi" w:hAnsiTheme="minorHAnsi" w:cstheme="minorHAnsi"/>
          <w:sz w:val="23"/>
          <w:szCs w:val="23"/>
        </w:rPr>
        <w:t>HX4670</w:t>
      </w:r>
      <w:r w:rsidRPr="00680C11">
        <w:rPr>
          <w:rFonts w:asciiTheme="minorHAnsi" w:hAnsiTheme="minorHAnsi" w:cstheme="minorHAnsi"/>
          <w:sz w:val="23"/>
          <w:szCs w:val="23"/>
        </w:rPr>
        <w:t>]</w:t>
      </w:r>
    </w:p>
    <w:p w14:paraId="7CC0F58F" w14:textId="25112AC2" w:rsidR="00336FEF" w:rsidRPr="00680C11" w:rsidRDefault="00336FEF" w:rsidP="00680C11">
      <w:pPr>
        <w:jc w:val="both"/>
        <w:rPr>
          <w:rFonts w:asciiTheme="minorHAnsi" w:hAnsiTheme="minorHAnsi" w:cstheme="minorHAnsi"/>
          <w:sz w:val="23"/>
          <w:szCs w:val="23"/>
        </w:rPr>
      </w:pPr>
      <w:r w:rsidRPr="00680C11">
        <w:rPr>
          <w:rFonts w:asciiTheme="minorHAnsi" w:hAnsiTheme="minorHAnsi" w:cstheme="minorHAnsi"/>
          <w:sz w:val="23"/>
          <w:szCs w:val="23"/>
        </w:rPr>
        <w:t>Autore: Bartalini, Ezio</w:t>
      </w:r>
    </w:p>
    <w:p w14:paraId="033C519A" w14:textId="77777777" w:rsidR="004E6C2E" w:rsidRPr="00680C11" w:rsidRDefault="004E6C2E" w:rsidP="00680C11">
      <w:pPr>
        <w:jc w:val="both"/>
        <w:rPr>
          <w:rFonts w:asciiTheme="minorHAnsi" w:hAnsiTheme="minorHAnsi" w:cstheme="minorHAnsi"/>
          <w:sz w:val="23"/>
          <w:szCs w:val="23"/>
        </w:rPr>
      </w:pPr>
      <w:r w:rsidRPr="00680C11">
        <w:rPr>
          <w:rFonts w:asciiTheme="minorHAnsi" w:hAnsiTheme="minorHAnsi" w:cstheme="minorHAnsi"/>
          <w:b/>
          <w:bCs/>
          <w:color w:val="C00000"/>
          <w:sz w:val="23"/>
          <w:szCs w:val="23"/>
        </w:rPr>
        <w:t>Copia digitale</w:t>
      </w:r>
      <w:r w:rsidRPr="00680C11">
        <w:rPr>
          <w:rFonts w:asciiTheme="minorHAnsi" w:hAnsiTheme="minorHAnsi" w:cstheme="minorHAnsi"/>
          <w:color w:val="C00000"/>
          <w:sz w:val="23"/>
          <w:szCs w:val="23"/>
        </w:rPr>
        <w:t xml:space="preserve"> </w:t>
      </w:r>
      <w:hyperlink r:id="rId7" w:history="1">
        <w:r w:rsidRPr="00680C11">
          <w:rPr>
            <w:rStyle w:val="Collegamentoipertestuale"/>
            <w:rFonts w:asciiTheme="minorHAnsi" w:hAnsiTheme="minorHAnsi" w:cstheme="minorHAnsi"/>
            <w:sz w:val="23"/>
            <w:szCs w:val="23"/>
          </w:rPr>
          <w:t>1903-1908</w:t>
        </w:r>
      </w:hyperlink>
    </w:p>
    <w:p w14:paraId="38EEBB1E" w14:textId="77777777" w:rsidR="004E6C2E" w:rsidRPr="00680C11" w:rsidRDefault="004E6C2E" w:rsidP="00680C11">
      <w:pPr>
        <w:jc w:val="both"/>
        <w:rPr>
          <w:rFonts w:asciiTheme="minorHAnsi" w:hAnsiTheme="minorHAnsi" w:cstheme="minorHAnsi"/>
          <w:sz w:val="23"/>
          <w:szCs w:val="23"/>
        </w:rPr>
      </w:pPr>
      <w:r w:rsidRPr="00680C11">
        <w:rPr>
          <w:rFonts w:asciiTheme="minorHAnsi" w:hAnsiTheme="minorHAnsi" w:cstheme="minorHAnsi"/>
          <w:sz w:val="23"/>
          <w:szCs w:val="23"/>
        </w:rPr>
        <w:t>La *</w:t>
      </w:r>
      <w:r w:rsidRPr="00680C11">
        <w:rPr>
          <w:rFonts w:asciiTheme="minorHAnsi" w:hAnsiTheme="minorHAnsi" w:cstheme="minorHAnsi"/>
          <w:b/>
          <w:bCs/>
          <w:sz w:val="23"/>
          <w:szCs w:val="23"/>
        </w:rPr>
        <w:t>pace</w:t>
      </w:r>
      <w:r w:rsidRPr="00680C11">
        <w:rPr>
          <w:rFonts w:asciiTheme="minorHAnsi" w:hAnsiTheme="minorHAnsi" w:cstheme="minorHAnsi"/>
          <w:sz w:val="23"/>
          <w:szCs w:val="23"/>
        </w:rPr>
        <w:t xml:space="preserve"> : bollettino quotidiano d'informazione per la stampa. – N. 1 (1950)-n. 3850 (1962). - Roma : [s.n., 1950-1962]. – 13 volumi. - TO00208273</w:t>
      </w:r>
    </w:p>
    <w:p w14:paraId="7FA495B6" w14:textId="77777777" w:rsidR="001154DF" w:rsidRPr="00680C11" w:rsidRDefault="001154DF" w:rsidP="00680C11">
      <w:pPr>
        <w:jc w:val="both"/>
        <w:rPr>
          <w:rFonts w:asciiTheme="minorHAnsi" w:hAnsiTheme="minorHAnsi" w:cstheme="minorHAnsi"/>
          <w:sz w:val="23"/>
          <w:szCs w:val="23"/>
        </w:rPr>
      </w:pPr>
    </w:p>
    <w:p w14:paraId="60B08A72" w14:textId="77777777" w:rsidR="001154DF" w:rsidRPr="00680C11" w:rsidRDefault="001154DF" w:rsidP="00680C11">
      <w:pPr>
        <w:jc w:val="both"/>
        <w:rPr>
          <w:rFonts w:asciiTheme="minorHAnsi" w:hAnsiTheme="minorHAnsi" w:cstheme="minorHAnsi"/>
          <w:sz w:val="23"/>
          <w:szCs w:val="23"/>
        </w:rPr>
      </w:pPr>
      <w:r w:rsidRPr="00680C11">
        <w:rPr>
          <w:rFonts w:asciiTheme="minorHAnsi" w:hAnsiTheme="minorHAnsi" w:cstheme="minorHAnsi"/>
          <w:sz w:val="23"/>
          <w:szCs w:val="23"/>
        </w:rPr>
        <w:t>La *</w:t>
      </w:r>
      <w:r w:rsidRPr="00680C11">
        <w:rPr>
          <w:rFonts w:asciiTheme="minorHAnsi" w:hAnsiTheme="minorHAnsi" w:cstheme="minorHAnsi"/>
          <w:b/>
          <w:bCs/>
          <w:sz w:val="23"/>
          <w:szCs w:val="23"/>
        </w:rPr>
        <w:t>pace</w:t>
      </w:r>
      <w:r w:rsidRPr="00680C11">
        <w:rPr>
          <w:rFonts w:asciiTheme="minorHAnsi" w:hAnsiTheme="minorHAnsi" w:cstheme="minorHAnsi"/>
          <w:sz w:val="23"/>
          <w:szCs w:val="23"/>
        </w:rPr>
        <w:t>. - Anno 1, n. 1 (15 agosto 1903)-anno 2 (1904). - Castellamare di Stabia : [s. n., 1903-1904]. – 2 volumi. ((Settimanale. - CFI0403324</w:t>
      </w:r>
    </w:p>
    <w:p w14:paraId="6FBC1E96" w14:textId="77777777" w:rsidR="001154DF" w:rsidRPr="00680C11" w:rsidRDefault="001154DF" w:rsidP="00680C11">
      <w:pPr>
        <w:jc w:val="both"/>
        <w:rPr>
          <w:rFonts w:asciiTheme="minorHAnsi" w:hAnsiTheme="minorHAnsi" w:cstheme="minorHAnsi"/>
          <w:sz w:val="23"/>
          <w:szCs w:val="23"/>
        </w:rPr>
      </w:pPr>
    </w:p>
    <w:p w14:paraId="1EEE6544" w14:textId="77777777" w:rsidR="001154DF" w:rsidRPr="00680C11" w:rsidRDefault="001154DF" w:rsidP="00680C11">
      <w:pPr>
        <w:jc w:val="both"/>
        <w:rPr>
          <w:rFonts w:asciiTheme="minorHAnsi" w:hAnsiTheme="minorHAnsi" w:cstheme="minorHAnsi"/>
          <w:sz w:val="23"/>
          <w:szCs w:val="23"/>
        </w:rPr>
      </w:pPr>
      <w:r w:rsidRPr="00680C11">
        <w:rPr>
          <w:rFonts w:asciiTheme="minorHAnsi" w:hAnsiTheme="minorHAnsi" w:cstheme="minorHAnsi"/>
          <w:sz w:val="23"/>
          <w:szCs w:val="23"/>
        </w:rPr>
        <w:t>La *</w:t>
      </w:r>
      <w:r w:rsidRPr="00680C11">
        <w:rPr>
          <w:rFonts w:asciiTheme="minorHAnsi" w:hAnsiTheme="minorHAnsi" w:cstheme="minorHAnsi"/>
          <w:b/>
          <w:bCs/>
          <w:sz w:val="23"/>
          <w:szCs w:val="23"/>
        </w:rPr>
        <w:t>pace</w:t>
      </w:r>
      <w:r w:rsidRPr="00680C11">
        <w:rPr>
          <w:rFonts w:asciiTheme="minorHAnsi" w:hAnsiTheme="minorHAnsi" w:cstheme="minorHAnsi"/>
          <w:sz w:val="23"/>
          <w:szCs w:val="23"/>
        </w:rPr>
        <w:t xml:space="preserve"> : bollettino parrocchiale di Gorgognano (Pianoro). - Anno 1, n. 1 (gennaio 1917)-    . - Bologna : Tipo Litografia Sordomuti, 1917. – 1 volume ; 22 cm. ((Mensile. - CUBI 431369. - BNI 1917-1421. - CUB0708921 </w:t>
      </w:r>
    </w:p>
    <w:p w14:paraId="3AAFB673" w14:textId="77777777" w:rsidR="001154DF" w:rsidRPr="00680C11" w:rsidRDefault="001154DF" w:rsidP="00680C11">
      <w:pPr>
        <w:jc w:val="both"/>
        <w:rPr>
          <w:rFonts w:asciiTheme="minorHAnsi" w:hAnsiTheme="minorHAnsi" w:cstheme="minorHAnsi"/>
          <w:sz w:val="23"/>
          <w:szCs w:val="23"/>
        </w:rPr>
      </w:pPr>
    </w:p>
    <w:p w14:paraId="01F71DF7" w14:textId="77777777" w:rsidR="001154DF" w:rsidRPr="00680C11" w:rsidRDefault="001154DF" w:rsidP="00680C11">
      <w:pPr>
        <w:jc w:val="both"/>
        <w:rPr>
          <w:rFonts w:asciiTheme="minorHAnsi" w:hAnsiTheme="minorHAnsi" w:cstheme="minorHAnsi"/>
          <w:sz w:val="23"/>
          <w:szCs w:val="23"/>
        </w:rPr>
      </w:pPr>
      <w:r w:rsidRPr="00680C11">
        <w:rPr>
          <w:rFonts w:asciiTheme="minorHAnsi" w:hAnsiTheme="minorHAnsi" w:cstheme="minorHAnsi"/>
          <w:sz w:val="23"/>
          <w:szCs w:val="23"/>
        </w:rPr>
        <w:t>La *</w:t>
      </w:r>
      <w:r w:rsidRPr="00680C11">
        <w:rPr>
          <w:rFonts w:asciiTheme="minorHAnsi" w:hAnsiTheme="minorHAnsi" w:cstheme="minorHAnsi"/>
          <w:b/>
          <w:bCs/>
          <w:sz w:val="23"/>
          <w:szCs w:val="23"/>
        </w:rPr>
        <w:t>pace</w:t>
      </w:r>
      <w:r w:rsidRPr="00680C11">
        <w:rPr>
          <w:rFonts w:asciiTheme="minorHAnsi" w:hAnsiTheme="minorHAnsi" w:cstheme="minorHAnsi"/>
          <w:sz w:val="23"/>
          <w:szCs w:val="23"/>
        </w:rPr>
        <w:t xml:space="preserve"> : giornale politico, d'economia sociale e finanziaria. - Berlino : F. Nölting, 1918. – 1 volume ; 50 cm. ((Settimanale. - Descrizione basata su: anno 1, n. 8 (24 febbraio 1918). - IEI0110384</w:t>
      </w:r>
    </w:p>
    <w:p w14:paraId="7F5409C5" w14:textId="77777777" w:rsidR="00680C11" w:rsidRPr="00680C11" w:rsidRDefault="00680C11" w:rsidP="00680C11">
      <w:pPr>
        <w:jc w:val="both"/>
        <w:rPr>
          <w:rFonts w:asciiTheme="minorHAnsi" w:hAnsiTheme="minorHAnsi" w:cstheme="minorHAnsi"/>
          <w:sz w:val="23"/>
          <w:szCs w:val="23"/>
        </w:rPr>
      </w:pPr>
    </w:p>
    <w:p w14:paraId="502F67C8" w14:textId="064BCF05" w:rsidR="00680C11" w:rsidRPr="00680C11" w:rsidRDefault="00680C11" w:rsidP="00680C11">
      <w:pPr>
        <w:jc w:val="both"/>
        <w:rPr>
          <w:rFonts w:asciiTheme="minorHAnsi" w:hAnsiTheme="minorHAnsi" w:cstheme="minorHAnsi"/>
          <w:sz w:val="23"/>
          <w:szCs w:val="23"/>
        </w:rPr>
      </w:pPr>
      <w:bookmarkStart w:id="1" w:name="_Hlk219742713"/>
      <w:r w:rsidRPr="00680C11">
        <w:rPr>
          <w:rFonts w:asciiTheme="minorHAnsi" w:hAnsiTheme="minorHAnsi" w:cstheme="minorHAnsi"/>
          <w:sz w:val="23"/>
          <w:szCs w:val="23"/>
        </w:rPr>
        <w:t xml:space="preserve">Soggetto: Antimilitarismo – 1903-1962; </w:t>
      </w:r>
      <w:r w:rsidRPr="00680C11">
        <w:rPr>
          <w:rFonts w:asciiTheme="minorHAnsi" w:eastAsiaTheme="majorEastAsia" w:hAnsiTheme="minorHAnsi" w:cstheme="minorHAnsi"/>
          <w:sz w:val="23"/>
          <w:szCs w:val="23"/>
        </w:rPr>
        <w:t xml:space="preserve">Pacifismo </w:t>
      </w:r>
      <w:r w:rsidRPr="00680C11">
        <w:rPr>
          <w:rFonts w:asciiTheme="minorHAnsi" w:hAnsiTheme="minorHAnsi" w:cstheme="minorHAnsi"/>
          <w:sz w:val="23"/>
          <w:szCs w:val="23"/>
        </w:rPr>
        <w:t>–</w:t>
      </w:r>
      <w:r w:rsidRPr="00680C11">
        <w:rPr>
          <w:rFonts w:asciiTheme="minorHAnsi" w:eastAsiaTheme="majorEastAsia" w:hAnsiTheme="minorHAnsi" w:cstheme="minorHAnsi"/>
          <w:sz w:val="23"/>
          <w:szCs w:val="23"/>
        </w:rPr>
        <w:t xml:space="preserve"> 1903-1962</w:t>
      </w:r>
    </w:p>
    <w:bookmarkEnd w:id="1"/>
    <w:p w14:paraId="05ACC5DD" w14:textId="77777777" w:rsidR="00680C11" w:rsidRPr="00680C11" w:rsidRDefault="00680C11" w:rsidP="00680C11">
      <w:pPr>
        <w:jc w:val="both"/>
        <w:rPr>
          <w:rFonts w:asciiTheme="minorHAnsi" w:hAnsiTheme="minorHAnsi" w:cstheme="minorHAnsi"/>
          <w:sz w:val="23"/>
          <w:szCs w:val="23"/>
        </w:rPr>
      </w:pPr>
    </w:p>
    <w:p w14:paraId="5C291AE1" w14:textId="77777777" w:rsidR="003D25F0" w:rsidRPr="003D25F0" w:rsidRDefault="003D25F0" w:rsidP="00680C11">
      <w:pPr>
        <w:jc w:val="both"/>
        <w:rPr>
          <w:rFonts w:asciiTheme="minorHAnsi" w:hAnsiTheme="minorHAnsi" w:cstheme="minorHAnsi"/>
          <w:b/>
          <w:bCs/>
          <w:color w:val="C00000"/>
          <w:sz w:val="44"/>
          <w:szCs w:val="44"/>
        </w:rPr>
      </w:pPr>
      <w:r w:rsidRPr="003D25F0">
        <w:rPr>
          <w:rFonts w:asciiTheme="minorHAnsi" w:hAnsiTheme="minorHAnsi" w:cstheme="minorHAnsi"/>
          <w:b/>
          <w:bCs/>
          <w:color w:val="C00000"/>
          <w:sz w:val="44"/>
          <w:szCs w:val="44"/>
        </w:rPr>
        <w:lastRenderedPageBreak/>
        <w:t>Informazioni storico-bibliografiche</w:t>
      </w:r>
    </w:p>
    <w:p w14:paraId="30775192" w14:textId="4E581B16" w:rsidR="0031062F" w:rsidRPr="00680C11" w:rsidRDefault="003D25F0" w:rsidP="00680C11">
      <w:pPr>
        <w:jc w:val="both"/>
        <w:rPr>
          <w:rFonts w:asciiTheme="minorHAnsi" w:hAnsiTheme="minorHAnsi" w:cstheme="minorHAnsi"/>
          <w:sz w:val="22"/>
          <w:szCs w:val="22"/>
        </w:rPr>
      </w:pPr>
      <w:r w:rsidRPr="00680C11">
        <w:rPr>
          <w:rFonts w:asciiTheme="minorHAnsi" w:hAnsiTheme="minorHAnsi" w:cstheme="minorHAnsi"/>
          <w:sz w:val="22"/>
          <w:szCs w:val="22"/>
        </w:rPr>
        <w:t xml:space="preserve">« La Pace » di Ezio Bartalini dal 1903 al 1915 si fece interprete dell’idea antimilitarista radicando il pacifismo in Tolstoi ed Hervé, </w:t>
      </w:r>
      <w:r w:rsidRPr="00680C11">
        <w:rPr>
          <w:rFonts w:asciiTheme="minorHAnsi" w:hAnsiTheme="minorHAnsi" w:cstheme="minorHAnsi"/>
          <w:i/>
          <w:iCs/>
          <w:sz w:val="22"/>
          <w:szCs w:val="22"/>
        </w:rPr>
        <w:t xml:space="preserve">Milan. </w:t>
      </w:r>
      <w:r w:rsidRPr="00680C11">
        <w:rPr>
          <w:rFonts w:asciiTheme="minorHAnsi" w:hAnsiTheme="minorHAnsi" w:cstheme="minorHAnsi"/>
          <w:sz w:val="22"/>
          <w:szCs w:val="22"/>
        </w:rPr>
        <w:t>p.517</w:t>
      </w:r>
    </w:p>
    <w:p w14:paraId="057E6446" w14:textId="00DA2E73" w:rsidR="003D25F0" w:rsidRPr="00680C11" w:rsidRDefault="003D25F0" w:rsidP="00680C11">
      <w:pPr>
        <w:jc w:val="both"/>
        <w:rPr>
          <w:rFonts w:asciiTheme="minorHAnsi" w:hAnsiTheme="minorHAnsi" w:cstheme="minorHAnsi"/>
          <w:sz w:val="22"/>
          <w:szCs w:val="22"/>
        </w:rPr>
      </w:pPr>
      <w:r w:rsidRPr="00680C11">
        <w:rPr>
          <w:rFonts w:asciiTheme="minorHAnsi" w:hAnsiTheme="minorHAnsi" w:cstheme="minorHAnsi"/>
          <w:sz w:val="22"/>
          <w:szCs w:val="22"/>
        </w:rPr>
        <w:t xml:space="preserve">Ed infatti il 7 maggio 1903 uscì il primo numero de « Il Lavoro », seguito a poche settimane di distanza da un altro giornale di area socialista « La Pace », « Periodico quindicinale antimilitarista » (1903-1915) che legò il proprio nome al giovanissimo direttore Ezio Bartalini. Le due testate erano state di segnate dal noto pittore genovese Plinio Nomellini. Mentre il quindicinale non rappresentò mai il contesto genovese optando per un respiro nazionale, da subito e definitivamente « Il Lavoro » si radicò sul territorio. </w:t>
      </w:r>
      <w:r w:rsidRPr="00680C11">
        <w:rPr>
          <w:rFonts w:asciiTheme="minorHAnsi" w:hAnsiTheme="minorHAnsi" w:cstheme="minorHAnsi"/>
          <w:i/>
          <w:iCs/>
          <w:sz w:val="22"/>
          <w:szCs w:val="22"/>
        </w:rPr>
        <w:t xml:space="preserve">Milan. </w:t>
      </w:r>
      <w:r w:rsidRPr="00680C11">
        <w:rPr>
          <w:rFonts w:asciiTheme="minorHAnsi" w:hAnsiTheme="minorHAnsi" w:cstheme="minorHAnsi"/>
          <w:sz w:val="22"/>
          <w:szCs w:val="22"/>
        </w:rPr>
        <w:t>p.523</w:t>
      </w:r>
    </w:p>
    <w:p w14:paraId="2B1F0196" w14:textId="77777777" w:rsidR="003D25F0" w:rsidRPr="00680C11" w:rsidRDefault="003D25F0" w:rsidP="00680C11">
      <w:pPr>
        <w:jc w:val="both"/>
        <w:rPr>
          <w:rFonts w:asciiTheme="minorHAnsi" w:hAnsiTheme="minorHAnsi" w:cstheme="minorHAnsi"/>
          <w:sz w:val="22"/>
          <w:szCs w:val="22"/>
        </w:rPr>
      </w:pPr>
    </w:p>
    <w:p w14:paraId="23DF0197" w14:textId="77777777" w:rsidR="003D25F0" w:rsidRPr="003D25F0" w:rsidRDefault="003D25F0" w:rsidP="00680C11">
      <w:pPr>
        <w:jc w:val="both"/>
        <w:rPr>
          <w:rFonts w:asciiTheme="minorHAnsi" w:hAnsiTheme="minorHAnsi" w:cstheme="minorHAnsi"/>
          <w:b/>
          <w:bCs/>
          <w:color w:val="C00000"/>
          <w:sz w:val="44"/>
          <w:szCs w:val="44"/>
        </w:rPr>
      </w:pPr>
      <w:r w:rsidRPr="003D25F0">
        <w:rPr>
          <w:rFonts w:asciiTheme="minorHAnsi" w:hAnsiTheme="minorHAnsi" w:cstheme="minorHAnsi"/>
          <w:b/>
          <w:bCs/>
          <w:color w:val="C00000"/>
          <w:sz w:val="44"/>
          <w:szCs w:val="44"/>
        </w:rPr>
        <w:t>Note e riferimenti bibliografici</w:t>
      </w:r>
    </w:p>
    <w:p w14:paraId="229E097F" w14:textId="5719144A" w:rsidR="003D25F0" w:rsidRPr="00680C11" w:rsidRDefault="003D25F0" w:rsidP="00680C11">
      <w:pPr>
        <w:pStyle w:val="Paragrafoelenco"/>
        <w:numPr>
          <w:ilvl w:val="0"/>
          <w:numId w:val="1"/>
        </w:numPr>
        <w:jc w:val="both"/>
        <w:rPr>
          <w:rFonts w:asciiTheme="minorHAnsi" w:hAnsiTheme="minorHAnsi" w:cstheme="minorHAnsi"/>
          <w:sz w:val="22"/>
          <w:szCs w:val="22"/>
        </w:rPr>
      </w:pPr>
      <w:r w:rsidRPr="00680C11">
        <w:rPr>
          <w:rFonts w:asciiTheme="minorHAnsi" w:hAnsiTheme="minorHAnsi" w:cstheme="minorHAnsi"/>
          <w:sz w:val="22"/>
          <w:szCs w:val="22"/>
        </w:rPr>
        <w:t>R. GIACOMINI, Antimilitarismo e pacifismo nel primo ’900: Ezio Bartalini e “La Pace”, 1903-1915, Milano, 1990</w:t>
      </w:r>
    </w:p>
    <w:p w14:paraId="51F82026" w14:textId="0CC9F217" w:rsidR="003D25F0" w:rsidRPr="00680C11" w:rsidRDefault="003D25F0" w:rsidP="00680C11">
      <w:pPr>
        <w:pStyle w:val="Paragrafoelenco"/>
        <w:numPr>
          <w:ilvl w:val="0"/>
          <w:numId w:val="1"/>
        </w:numPr>
        <w:suppressAutoHyphens w:val="0"/>
        <w:jc w:val="both"/>
        <w:rPr>
          <w:rFonts w:asciiTheme="minorHAnsi" w:hAnsiTheme="minorHAnsi" w:cstheme="minorHAnsi"/>
          <w:sz w:val="22"/>
          <w:szCs w:val="22"/>
        </w:rPr>
      </w:pPr>
      <w:hyperlink r:id="rId8" w:history="1">
        <w:r w:rsidRPr="00680C11">
          <w:rPr>
            <w:rStyle w:val="Collegamentoipertestuale"/>
            <w:rFonts w:asciiTheme="minorHAnsi" w:hAnsiTheme="minorHAnsi" w:cstheme="minorHAnsi"/>
            <w:sz w:val="22"/>
            <w:szCs w:val="22"/>
          </w:rPr>
          <w:t>Giornali e periodici a Genova tra Ottocento e Novecento / Marina Milan. In: Storia della cultura ligure a cura di DINO PUNCUH 3, Atti della Società ligure di storia patria, nuova serie vol. 45 (119), fasc. 1 (2005), p.477-544.</w:t>
        </w:r>
      </w:hyperlink>
    </w:p>
    <w:sectPr w:rsidR="003D25F0" w:rsidRPr="00680C11"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426C"/>
    <w:multiLevelType w:val="hybridMultilevel"/>
    <w:tmpl w:val="BAD05B26"/>
    <w:lvl w:ilvl="0" w:tplc="CF5C9020">
      <w:start w:val="1800"/>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82B5710"/>
    <w:multiLevelType w:val="hybridMultilevel"/>
    <w:tmpl w:val="0AB65620"/>
    <w:lvl w:ilvl="0" w:tplc="3C5A9D54">
      <w:start w:val="18"/>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89421142">
    <w:abstractNumId w:val="1"/>
  </w:num>
  <w:num w:numId="2" w16cid:durableId="168050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02E87"/>
    <w:rsid w:val="001154DF"/>
    <w:rsid w:val="00207AB8"/>
    <w:rsid w:val="003054C0"/>
    <w:rsid w:val="0031062F"/>
    <w:rsid w:val="00336FEF"/>
    <w:rsid w:val="003605E3"/>
    <w:rsid w:val="00361D59"/>
    <w:rsid w:val="00375F4B"/>
    <w:rsid w:val="003811E4"/>
    <w:rsid w:val="003D25F0"/>
    <w:rsid w:val="003F5F60"/>
    <w:rsid w:val="004E6C2E"/>
    <w:rsid w:val="00554622"/>
    <w:rsid w:val="00653982"/>
    <w:rsid w:val="00680C11"/>
    <w:rsid w:val="00802E87"/>
    <w:rsid w:val="008257FA"/>
    <w:rsid w:val="00C71CAA"/>
    <w:rsid w:val="00D544E6"/>
    <w:rsid w:val="00E84EF4"/>
    <w:rsid w:val="00FE18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E6AF"/>
  <w15:chartTrackingRefBased/>
  <w15:docId w15:val="{E7948431-27B9-4817-8446-425204F0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E6C2E"/>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802E8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802E8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802E87"/>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802E87"/>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802E87"/>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802E8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02E8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02E8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02E8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02E87"/>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802E87"/>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802E87"/>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802E87"/>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802E87"/>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802E8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02E8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02E8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02E87"/>
    <w:rPr>
      <w:rFonts w:eastAsiaTheme="majorEastAsia" w:cstheme="majorBidi"/>
      <w:color w:val="272727" w:themeColor="text1" w:themeTint="D8"/>
    </w:rPr>
  </w:style>
  <w:style w:type="paragraph" w:styleId="Titolo">
    <w:name w:val="Title"/>
    <w:basedOn w:val="Normale"/>
    <w:next w:val="Normale"/>
    <w:link w:val="TitoloCarattere"/>
    <w:uiPriority w:val="10"/>
    <w:qFormat/>
    <w:rsid w:val="00802E8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02E8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02E87"/>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02E8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02E87"/>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802E87"/>
    <w:rPr>
      <w:i/>
      <w:iCs/>
      <w:color w:val="404040" w:themeColor="text1" w:themeTint="BF"/>
    </w:rPr>
  </w:style>
  <w:style w:type="paragraph" w:styleId="Paragrafoelenco">
    <w:name w:val="List Paragraph"/>
    <w:basedOn w:val="Normale"/>
    <w:uiPriority w:val="34"/>
    <w:qFormat/>
    <w:rsid w:val="00802E87"/>
    <w:pPr>
      <w:ind w:left="720"/>
      <w:contextualSpacing/>
    </w:pPr>
  </w:style>
  <w:style w:type="character" w:styleId="Enfasiintensa">
    <w:name w:val="Intense Emphasis"/>
    <w:basedOn w:val="Carpredefinitoparagrafo"/>
    <w:uiPriority w:val="21"/>
    <w:qFormat/>
    <w:rsid w:val="00802E87"/>
    <w:rPr>
      <w:i/>
      <w:iCs/>
      <w:color w:val="365F91" w:themeColor="accent1" w:themeShade="BF"/>
    </w:rPr>
  </w:style>
  <w:style w:type="paragraph" w:styleId="Citazioneintensa">
    <w:name w:val="Intense Quote"/>
    <w:basedOn w:val="Normale"/>
    <w:next w:val="Normale"/>
    <w:link w:val="CitazioneintensaCarattere"/>
    <w:uiPriority w:val="30"/>
    <w:qFormat/>
    <w:rsid w:val="00802E8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802E87"/>
    <w:rPr>
      <w:i/>
      <w:iCs/>
      <w:color w:val="365F91" w:themeColor="accent1" w:themeShade="BF"/>
    </w:rPr>
  </w:style>
  <w:style w:type="character" w:styleId="Riferimentointenso">
    <w:name w:val="Intense Reference"/>
    <w:basedOn w:val="Carpredefinitoparagrafo"/>
    <w:uiPriority w:val="32"/>
    <w:qFormat/>
    <w:rsid w:val="00802E87"/>
    <w:rPr>
      <w:b/>
      <w:bCs/>
      <w:smallCaps/>
      <w:color w:val="365F91" w:themeColor="accent1" w:themeShade="BF"/>
      <w:spacing w:val="5"/>
    </w:rPr>
  </w:style>
  <w:style w:type="character" w:styleId="Collegamentoipertestuale">
    <w:name w:val="Hyperlink"/>
    <w:rsid w:val="004E6C2E"/>
    <w:rPr>
      <w:strike w:val="0"/>
      <w:dstrike w:val="0"/>
      <w:color w:val="000000"/>
      <w:u w:val="none"/>
    </w:rPr>
  </w:style>
  <w:style w:type="character" w:styleId="Menzionenonrisolta">
    <w:name w:val="Unresolved Mention"/>
    <w:basedOn w:val="Carpredefinitoparagrafo"/>
    <w:uiPriority w:val="99"/>
    <w:semiHidden/>
    <w:unhideWhenUsed/>
    <w:rsid w:val="004E6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t&amp;source=web&amp;rct=j&amp;opi=89978449&amp;url=https://www.storiapatriagenova.it/Docs/Biblioteca_Digitale/SB/396b22c37e8bbc6c44c30828fc127900/Estratti/9869fab0caabe7dba14058e6664fc3c8.pdf&amp;ved=2ahUKEwiElPblnqOMAxWE3AIHHRFqB7gQFnoECBUQAQ&amp;usg=AOvVaw07NWyY5IKWwl4FzFj_pYSB" TargetMode="External"/><Relationship Id="rId3" Type="http://schemas.openxmlformats.org/officeDocument/2006/relationships/settings" Target="settings.xml"/><Relationship Id="rId7" Type="http://schemas.openxmlformats.org/officeDocument/2006/relationships/hyperlink" Target="http://www.internetculturale.it/it/913/emeroteca-digitale-italiana/periodic/testata/95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437</Words>
  <Characters>2491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2026-01-19T14:57:00Z</dcterms:created>
  <dcterms:modified xsi:type="dcterms:W3CDTF">2026-01-20T05:40:00Z</dcterms:modified>
</cp:coreProperties>
</file>