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0CF6" w14:textId="47169373" w:rsidR="000F16C4" w:rsidRPr="003D25F0" w:rsidRDefault="000F16C4" w:rsidP="000F16C4">
      <w:pPr>
        <w:spacing w:after="0" w:line="240" w:lineRule="auto"/>
        <w:jc w:val="both"/>
        <w:rPr>
          <w:rFonts w:asciiTheme="minorHAnsi" w:hAnsiTheme="minorHAnsi" w:cstheme="minorHAnsi"/>
          <w:bCs/>
          <w:i/>
          <w:iCs/>
          <w:sz w:val="16"/>
          <w:szCs w:val="16"/>
        </w:rPr>
      </w:pPr>
      <w:bookmarkStart w:id="0" w:name="_Hlk219742694"/>
      <w:r>
        <w:rPr>
          <w:rFonts w:cstheme="minorHAnsi"/>
          <w:b/>
          <w:color w:val="C00000"/>
          <w:sz w:val="44"/>
          <w:szCs w:val="44"/>
        </w:rPr>
        <w:t>U1</w:t>
      </w:r>
      <w:r>
        <w:rPr>
          <w:rFonts w:cstheme="minorHAnsi"/>
          <w:b/>
          <w:color w:val="C00000"/>
          <w:sz w:val="44"/>
          <w:szCs w:val="44"/>
        </w:rPr>
        <w:t>5.4</w:t>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t xml:space="preserve">scheda creata il </w:t>
      </w:r>
      <w:r>
        <w:rPr>
          <w:rFonts w:asciiTheme="minorHAnsi" w:hAnsiTheme="minorHAnsi" w:cstheme="minorHAnsi"/>
          <w:bCs/>
          <w:i/>
          <w:iCs/>
          <w:sz w:val="16"/>
          <w:szCs w:val="16"/>
        </w:rPr>
        <w:t>20</w:t>
      </w:r>
      <w:r w:rsidRPr="003D25F0">
        <w:rPr>
          <w:rFonts w:asciiTheme="minorHAnsi" w:hAnsiTheme="minorHAnsi" w:cstheme="minorHAnsi"/>
          <w:bCs/>
          <w:i/>
          <w:iCs/>
          <w:sz w:val="16"/>
          <w:szCs w:val="16"/>
        </w:rPr>
        <w:t xml:space="preserve"> gennaio 2026</w:t>
      </w:r>
    </w:p>
    <w:p w14:paraId="09444C44" w14:textId="4E340642" w:rsidR="000F16C4" w:rsidRDefault="000F16C4" w:rsidP="000F16C4">
      <w:pPr>
        <w:spacing w:after="0" w:line="240" w:lineRule="auto"/>
        <w:jc w:val="both"/>
        <w:rPr>
          <w:rFonts w:asciiTheme="minorHAnsi" w:hAnsiTheme="minorHAnsi" w:cstheme="minorHAnsi"/>
          <w:b/>
          <w:color w:val="C00000"/>
          <w:sz w:val="44"/>
          <w:szCs w:val="44"/>
        </w:rPr>
      </w:pPr>
      <w:r w:rsidRPr="000F16C4">
        <w:rPr>
          <w:rFonts w:asciiTheme="minorHAnsi" w:hAnsiTheme="minorHAnsi" w:cstheme="minorHAnsi"/>
          <w:b/>
          <w:color w:val="C00000"/>
          <w:sz w:val="44"/>
          <w:szCs w:val="44"/>
        </w:rPr>
        <w:drawing>
          <wp:inline distT="0" distB="0" distL="0" distR="0" wp14:anchorId="6A16DF97" wp14:editId="1C2E7B63">
            <wp:extent cx="2836800" cy="3960000"/>
            <wp:effectExtent l="0" t="0" r="1905" b="2540"/>
            <wp:docPr id="535871082" name="Immagine 1" descr="Immagine che contiene testo, libro, calligrafia, docu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71082" name="Immagine 1" descr="Immagine che contiene testo, libro, calligrafia, documento&#10;&#10;Il contenuto generato dall'IA potrebbe non essere corretto."/>
                    <pic:cNvPicPr/>
                  </pic:nvPicPr>
                  <pic:blipFill>
                    <a:blip r:embed="rId4"/>
                    <a:stretch>
                      <a:fillRect/>
                    </a:stretch>
                  </pic:blipFill>
                  <pic:spPr>
                    <a:xfrm>
                      <a:off x="0" y="0"/>
                      <a:ext cx="2836800" cy="3960000"/>
                    </a:xfrm>
                    <a:prstGeom prst="rect">
                      <a:avLst/>
                    </a:prstGeom>
                  </pic:spPr>
                </pic:pic>
              </a:graphicData>
            </a:graphic>
          </wp:inline>
        </w:drawing>
      </w:r>
      <w:r>
        <w:rPr>
          <w:rFonts w:asciiTheme="minorHAnsi" w:hAnsiTheme="minorHAnsi" w:cstheme="minorHAnsi"/>
          <w:b/>
          <w:noProof/>
          <w:color w:val="C00000"/>
          <w:sz w:val="44"/>
          <w:szCs w:val="44"/>
        </w:rPr>
        <w:drawing>
          <wp:inline distT="0" distB="0" distL="0" distR="0" wp14:anchorId="41B0ADFD" wp14:editId="3CE1036B">
            <wp:extent cx="2851200" cy="3960000"/>
            <wp:effectExtent l="0" t="0" r="6350" b="2540"/>
            <wp:docPr id="68487318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1200" cy="3960000"/>
                    </a:xfrm>
                    <a:prstGeom prst="rect">
                      <a:avLst/>
                    </a:prstGeom>
                    <a:noFill/>
                  </pic:spPr>
                </pic:pic>
              </a:graphicData>
            </a:graphic>
          </wp:inline>
        </w:drawing>
      </w:r>
    </w:p>
    <w:p w14:paraId="75479199" w14:textId="77777777" w:rsidR="008C66D8" w:rsidRDefault="008C66D8" w:rsidP="000F16C4">
      <w:pPr>
        <w:spacing w:after="0" w:line="240" w:lineRule="auto"/>
        <w:jc w:val="both"/>
        <w:rPr>
          <w:rFonts w:asciiTheme="minorHAnsi" w:hAnsiTheme="minorHAnsi" w:cstheme="minorHAnsi"/>
          <w:b/>
          <w:color w:val="C00000"/>
          <w:sz w:val="44"/>
          <w:szCs w:val="44"/>
        </w:rPr>
      </w:pPr>
    </w:p>
    <w:p w14:paraId="4F9DF1DD" w14:textId="719B7E42" w:rsidR="000F16C4" w:rsidRPr="003D25F0" w:rsidRDefault="000F16C4" w:rsidP="000F16C4">
      <w:pPr>
        <w:spacing w:after="0" w:line="240" w:lineRule="auto"/>
        <w:jc w:val="both"/>
        <w:rPr>
          <w:rFonts w:asciiTheme="minorHAnsi" w:hAnsiTheme="minorHAnsi" w:cstheme="minorHAnsi"/>
          <w:b/>
        </w:rPr>
      </w:pPr>
      <w:r w:rsidRPr="003D25F0">
        <w:rPr>
          <w:rFonts w:asciiTheme="minorHAnsi" w:hAnsiTheme="minorHAnsi" w:cstheme="minorHAnsi"/>
          <w:b/>
          <w:color w:val="C00000"/>
          <w:sz w:val="44"/>
          <w:szCs w:val="44"/>
        </w:rPr>
        <w:t>Descrizione storico-bibliografica</w:t>
      </w:r>
      <w:r w:rsidRPr="003D25F0">
        <w:rPr>
          <w:rFonts w:asciiTheme="minorHAnsi" w:hAnsiTheme="minorHAnsi" w:cstheme="minorHAnsi"/>
          <w:b/>
        </w:rPr>
        <w:t xml:space="preserve"> </w:t>
      </w:r>
    </w:p>
    <w:bookmarkEnd w:id="0"/>
    <w:p w14:paraId="78CA1CBE" w14:textId="1BB4563A" w:rsidR="000F16C4" w:rsidRPr="008C66D8" w:rsidRDefault="000F16C4" w:rsidP="000F16C4">
      <w:pPr>
        <w:spacing w:after="0" w:line="240" w:lineRule="auto"/>
        <w:jc w:val="both"/>
        <w:rPr>
          <w:sz w:val="32"/>
          <w:szCs w:val="32"/>
        </w:rPr>
      </w:pPr>
      <w:r w:rsidRPr="008C66D8">
        <w:rPr>
          <w:b/>
          <w:sz w:val="32"/>
          <w:szCs w:val="32"/>
        </w:rPr>
        <w:t>... *</w:t>
      </w:r>
      <w:r w:rsidRPr="008C66D8">
        <w:rPr>
          <w:b/>
          <w:sz w:val="32"/>
          <w:szCs w:val="32"/>
        </w:rPr>
        <w:t>R</w:t>
      </w:r>
      <w:r w:rsidRPr="008C66D8">
        <w:rPr>
          <w:b/>
          <w:sz w:val="32"/>
          <w:szCs w:val="32"/>
        </w:rPr>
        <w:t>elazione sul servizio postale in Italia</w:t>
      </w:r>
      <w:r w:rsidRPr="008C66D8">
        <w:rPr>
          <w:sz w:val="32"/>
          <w:szCs w:val="32"/>
        </w:rPr>
        <w:t xml:space="preserve">. </w:t>
      </w:r>
      <w:r w:rsidRPr="008C66D8">
        <w:rPr>
          <w:sz w:val="32"/>
          <w:szCs w:val="32"/>
        </w:rPr>
        <w:t>–</w:t>
      </w:r>
      <w:r w:rsidRPr="008C66D8">
        <w:rPr>
          <w:sz w:val="32"/>
          <w:szCs w:val="32"/>
        </w:rPr>
        <w:t xml:space="preserve"> </w:t>
      </w:r>
      <w:r w:rsidRPr="008C66D8">
        <w:rPr>
          <w:sz w:val="32"/>
          <w:szCs w:val="32"/>
        </w:rPr>
        <w:t>Anno 1. (</w:t>
      </w:r>
      <w:proofErr w:type="gramStart"/>
      <w:r w:rsidRPr="008C66D8">
        <w:rPr>
          <w:sz w:val="32"/>
          <w:szCs w:val="32"/>
        </w:rPr>
        <w:t>1863</w:t>
      </w:r>
      <w:r w:rsidRPr="008C66D8">
        <w:rPr>
          <w:sz w:val="32"/>
          <w:szCs w:val="32"/>
        </w:rPr>
        <w:t>)</w:t>
      </w:r>
      <w:r w:rsidRPr="008C66D8">
        <w:rPr>
          <w:sz w:val="32"/>
          <w:szCs w:val="32"/>
        </w:rPr>
        <w:t>-</w:t>
      </w:r>
      <w:proofErr w:type="gramEnd"/>
      <w:r w:rsidRPr="008C66D8">
        <w:rPr>
          <w:sz w:val="32"/>
          <w:szCs w:val="32"/>
        </w:rPr>
        <w:t>anno finanziario 22. (</w:t>
      </w:r>
      <w:r w:rsidRPr="008C66D8">
        <w:rPr>
          <w:sz w:val="32"/>
          <w:szCs w:val="32"/>
        </w:rPr>
        <w:t>1886/87</w:t>
      </w:r>
      <w:r w:rsidRPr="008C66D8">
        <w:rPr>
          <w:sz w:val="32"/>
          <w:szCs w:val="32"/>
        </w:rPr>
        <w:t>)</w:t>
      </w:r>
      <w:r w:rsidRPr="008C66D8">
        <w:rPr>
          <w:sz w:val="32"/>
          <w:szCs w:val="32"/>
        </w:rPr>
        <w:t xml:space="preserve">. - </w:t>
      </w:r>
      <w:proofErr w:type="gramStart"/>
      <w:r w:rsidRPr="008C66D8">
        <w:rPr>
          <w:sz w:val="32"/>
          <w:szCs w:val="32"/>
        </w:rPr>
        <w:t>Torino :</w:t>
      </w:r>
      <w:proofErr w:type="gramEnd"/>
      <w:r w:rsidRPr="008C66D8">
        <w:rPr>
          <w:sz w:val="32"/>
          <w:szCs w:val="32"/>
        </w:rPr>
        <w:t xml:space="preserve"> </w:t>
      </w:r>
      <w:r w:rsidRPr="008C66D8">
        <w:rPr>
          <w:sz w:val="32"/>
          <w:szCs w:val="32"/>
        </w:rPr>
        <w:t xml:space="preserve">Tipografia </w:t>
      </w:r>
      <w:r w:rsidRPr="008C66D8">
        <w:rPr>
          <w:sz w:val="32"/>
          <w:szCs w:val="32"/>
        </w:rPr>
        <w:t>Fodratti, 186</w:t>
      </w:r>
      <w:r w:rsidRPr="008C66D8">
        <w:rPr>
          <w:sz w:val="32"/>
          <w:szCs w:val="32"/>
        </w:rPr>
        <w:t>4</w:t>
      </w:r>
      <w:r w:rsidRPr="008C66D8">
        <w:rPr>
          <w:sz w:val="32"/>
          <w:szCs w:val="32"/>
        </w:rPr>
        <w:t xml:space="preserve">-1888. – 22 </w:t>
      </w:r>
      <w:proofErr w:type="gramStart"/>
      <w:r w:rsidRPr="008C66D8">
        <w:rPr>
          <w:sz w:val="32"/>
          <w:szCs w:val="32"/>
        </w:rPr>
        <w:t>volumi ;</w:t>
      </w:r>
      <w:proofErr w:type="gramEnd"/>
      <w:r w:rsidRPr="008C66D8">
        <w:rPr>
          <w:sz w:val="32"/>
          <w:szCs w:val="32"/>
        </w:rPr>
        <w:t xml:space="preserve"> 31 cm. ((Annuale. </w:t>
      </w:r>
      <w:r w:rsidRPr="008C66D8">
        <w:rPr>
          <w:sz w:val="32"/>
          <w:szCs w:val="32"/>
        </w:rPr>
        <w:t>–</w:t>
      </w:r>
      <w:r w:rsidRPr="008C66D8">
        <w:rPr>
          <w:sz w:val="32"/>
          <w:szCs w:val="32"/>
        </w:rPr>
        <w:t xml:space="preserve"> </w:t>
      </w:r>
      <w:r w:rsidRPr="008C66D8">
        <w:rPr>
          <w:sz w:val="32"/>
          <w:szCs w:val="32"/>
        </w:rPr>
        <w:t>L’editore</w:t>
      </w:r>
      <w:r w:rsidRPr="008C66D8">
        <w:rPr>
          <w:sz w:val="32"/>
          <w:szCs w:val="32"/>
        </w:rPr>
        <w:t xml:space="preserve"> varia: </w:t>
      </w:r>
      <w:proofErr w:type="gramStart"/>
      <w:r w:rsidRPr="008C66D8">
        <w:rPr>
          <w:sz w:val="32"/>
          <w:szCs w:val="32"/>
        </w:rPr>
        <w:t>Torino :</w:t>
      </w:r>
      <w:proofErr w:type="gramEnd"/>
      <w:r w:rsidRPr="008C66D8">
        <w:rPr>
          <w:sz w:val="32"/>
          <w:szCs w:val="32"/>
        </w:rPr>
        <w:t xml:space="preserve"> Tipografia Ceresole e Panizza</w:t>
      </w:r>
      <w:r w:rsidRPr="008C66D8">
        <w:rPr>
          <w:sz w:val="32"/>
          <w:szCs w:val="32"/>
        </w:rPr>
        <w:t xml:space="preserve"> (1867</w:t>
      </w:r>
      <w:r w:rsidR="008C66D8" w:rsidRPr="008C66D8">
        <w:rPr>
          <w:sz w:val="32"/>
          <w:szCs w:val="32"/>
        </w:rPr>
        <w:t>-1871</w:t>
      </w:r>
      <w:r w:rsidRPr="008C66D8">
        <w:rPr>
          <w:sz w:val="32"/>
          <w:szCs w:val="32"/>
        </w:rPr>
        <w:t xml:space="preserve">); </w:t>
      </w:r>
      <w:proofErr w:type="gramStart"/>
      <w:r w:rsidRPr="008C66D8">
        <w:rPr>
          <w:sz w:val="32"/>
          <w:szCs w:val="32"/>
        </w:rPr>
        <w:t>Roma</w:t>
      </w:r>
      <w:r w:rsidRPr="008C66D8">
        <w:rPr>
          <w:sz w:val="32"/>
          <w:szCs w:val="32"/>
        </w:rPr>
        <w:t xml:space="preserve"> :</w:t>
      </w:r>
      <w:proofErr w:type="gramEnd"/>
      <w:r w:rsidRPr="008C66D8">
        <w:rPr>
          <w:sz w:val="32"/>
          <w:szCs w:val="32"/>
        </w:rPr>
        <w:t xml:space="preserve"> Tipografia Eredi Botta (187</w:t>
      </w:r>
      <w:r w:rsidR="008C66D8" w:rsidRPr="008C66D8">
        <w:rPr>
          <w:sz w:val="32"/>
          <w:szCs w:val="32"/>
        </w:rPr>
        <w:t>2</w:t>
      </w:r>
      <w:r w:rsidRPr="008C66D8">
        <w:rPr>
          <w:sz w:val="32"/>
          <w:szCs w:val="32"/>
        </w:rPr>
        <w:t>-1888)</w:t>
      </w:r>
      <w:r w:rsidRPr="008C66D8">
        <w:rPr>
          <w:sz w:val="32"/>
          <w:szCs w:val="32"/>
        </w:rPr>
        <w:t>. - Precede il titolo il numero ordinale. - IST0033797</w:t>
      </w:r>
      <w:r w:rsidRPr="008C66D8">
        <w:rPr>
          <w:sz w:val="32"/>
          <w:szCs w:val="32"/>
        </w:rPr>
        <w:t xml:space="preserve">; </w:t>
      </w:r>
      <w:r w:rsidRPr="008C66D8">
        <w:rPr>
          <w:sz w:val="32"/>
          <w:szCs w:val="32"/>
        </w:rPr>
        <w:t>TO00192665</w:t>
      </w:r>
    </w:p>
    <w:p w14:paraId="567ACB13" w14:textId="77777777" w:rsidR="000F16C4" w:rsidRPr="008C66D8" w:rsidRDefault="000F16C4" w:rsidP="000F16C4">
      <w:pPr>
        <w:spacing w:after="0" w:line="240" w:lineRule="auto"/>
        <w:jc w:val="both"/>
        <w:rPr>
          <w:bCs/>
          <w:sz w:val="32"/>
          <w:szCs w:val="32"/>
        </w:rPr>
      </w:pPr>
      <w:r w:rsidRPr="008C66D8">
        <w:rPr>
          <w:sz w:val="32"/>
          <w:szCs w:val="32"/>
        </w:rPr>
        <w:t>Si fonde con: *</w:t>
      </w:r>
      <w:r w:rsidRPr="008C66D8">
        <w:rPr>
          <w:bCs/>
          <w:sz w:val="32"/>
          <w:szCs w:val="32"/>
        </w:rPr>
        <w:t>Relazione statistica sui telegrafi del Regno d'Italia dell'anno... [U15.5]</w:t>
      </w:r>
    </w:p>
    <w:p w14:paraId="7CBD9590" w14:textId="00DD9830" w:rsidR="000F16C4" w:rsidRPr="008C66D8" w:rsidRDefault="000F16C4" w:rsidP="000F16C4">
      <w:pPr>
        <w:spacing w:after="0" w:line="240" w:lineRule="auto"/>
        <w:jc w:val="both"/>
        <w:rPr>
          <w:sz w:val="32"/>
          <w:szCs w:val="32"/>
        </w:rPr>
      </w:pPr>
      <w:r w:rsidRPr="008C66D8">
        <w:rPr>
          <w:bCs/>
          <w:sz w:val="32"/>
          <w:szCs w:val="32"/>
        </w:rPr>
        <w:t xml:space="preserve">Continua con: </w:t>
      </w:r>
      <w:r w:rsidRPr="008C66D8">
        <w:rPr>
          <w:sz w:val="32"/>
          <w:szCs w:val="32"/>
        </w:rPr>
        <w:t>*Relazione statistica intorno ai servizi postale e telegrafico per l'esercizio... ed al servizio delle casse postali di risparmio per l'anno... [U15.6]</w:t>
      </w:r>
    </w:p>
    <w:p w14:paraId="101FAEED" w14:textId="77777777" w:rsidR="000F16C4" w:rsidRPr="008C66D8" w:rsidRDefault="000F16C4" w:rsidP="000F16C4">
      <w:pPr>
        <w:spacing w:after="0" w:line="240" w:lineRule="auto"/>
        <w:jc w:val="both"/>
        <w:rPr>
          <w:sz w:val="32"/>
          <w:szCs w:val="32"/>
        </w:rPr>
      </w:pPr>
      <w:r w:rsidRPr="008C66D8">
        <w:rPr>
          <w:sz w:val="32"/>
          <w:szCs w:val="32"/>
        </w:rPr>
        <w:t xml:space="preserve">Autore: </w:t>
      </w:r>
      <w:proofErr w:type="gramStart"/>
      <w:r w:rsidRPr="008C66D8">
        <w:rPr>
          <w:sz w:val="32"/>
          <w:szCs w:val="32"/>
        </w:rPr>
        <w:t>Italia :</w:t>
      </w:r>
      <w:proofErr w:type="gramEnd"/>
      <w:r w:rsidRPr="008C66D8">
        <w:rPr>
          <w:sz w:val="32"/>
          <w:szCs w:val="32"/>
        </w:rPr>
        <w:t xml:space="preserve"> Direzione generale delle poste</w:t>
      </w:r>
    </w:p>
    <w:p w14:paraId="2A866615" w14:textId="77777777" w:rsidR="000F16C4" w:rsidRPr="008C66D8" w:rsidRDefault="000F16C4" w:rsidP="000F16C4">
      <w:pPr>
        <w:spacing w:after="0" w:line="240" w:lineRule="auto"/>
        <w:jc w:val="both"/>
        <w:rPr>
          <w:sz w:val="32"/>
          <w:szCs w:val="32"/>
        </w:rPr>
      </w:pPr>
      <w:r w:rsidRPr="008C66D8">
        <w:rPr>
          <w:sz w:val="32"/>
          <w:szCs w:val="32"/>
        </w:rPr>
        <w:t>Soggetto: Poste e telegrafi - 1863-1887</w:t>
      </w:r>
    </w:p>
    <w:p w14:paraId="0106FF03" w14:textId="77777777" w:rsidR="000F16C4" w:rsidRPr="008C66D8" w:rsidRDefault="000F16C4" w:rsidP="000F16C4">
      <w:pPr>
        <w:spacing w:after="0" w:line="240" w:lineRule="auto"/>
        <w:jc w:val="both"/>
        <w:rPr>
          <w:sz w:val="32"/>
          <w:szCs w:val="32"/>
        </w:rPr>
      </w:pPr>
      <w:r w:rsidRPr="008C66D8">
        <w:rPr>
          <w:sz w:val="32"/>
          <w:szCs w:val="32"/>
        </w:rPr>
        <w:t>Classe: D383.4945</w:t>
      </w:r>
    </w:p>
    <w:p w14:paraId="6B1D9D6F" w14:textId="5F5B5974" w:rsidR="000F16C4" w:rsidRPr="008C66D8" w:rsidRDefault="000F16C4" w:rsidP="000F16C4">
      <w:pPr>
        <w:spacing w:after="0" w:line="240" w:lineRule="auto"/>
        <w:jc w:val="both"/>
        <w:rPr>
          <w:sz w:val="32"/>
          <w:szCs w:val="32"/>
        </w:rPr>
      </w:pPr>
      <w:r w:rsidRPr="008C66D8">
        <w:rPr>
          <w:b/>
          <w:bCs/>
          <w:color w:val="C00000"/>
          <w:sz w:val="32"/>
          <w:szCs w:val="32"/>
        </w:rPr>
        <w:t xml:space="preserve">Copie digitali: </w:t>
      </w:r>
      <w:hyperlink r:id="rId6" w:history="1">
        <w:r w:rsidRPr="008C66D8">
          <w:rPr>
            <w:rStyle w:val="Collegamentoipertestuale"/>
            <w:sz w:val="32"/>
            <w:szCs w:val="32"/>
          </w:rPr>
          <w:t>1863; 1864; 1869; 1871-1886/87</w:t>
        </w:r>
      </w:hyperlink>
      <w:r w:rsidR="008C66D8" w:rsidRPr="008C66D8">
        <w:rPr>
          <w:sz w:val="32"/>
          <w:szCs w:val="32"/>
        </w:rPr>
        <w:t xml:space="preserve">; </w:t>
      </w:r>
      <w:hyperlink r:id="rId7" w:anchor="v=onepage&amp;q&amp;f=false" w:history="1">
        <w:r w:rsidR="008C66D8" w:rsidRPr="008C66D8">
          <w:rPr>
            <w:rStyle w:val="Collegamentoipertestuale"/>
            <w:sz w:val="32"/>
            <w:szCs w:val="32"/>
          </w:rPr>
          <w:t>1883</w:t>
        </w:r>
      </w:hyperlink>
      <w:r w:rsidR="008C66D8" w:rsidRPr="008C66D8">
        <w:rPr>
          <w:sz w:val="32"/>
          <w:szCs w:val="32"/>
        </w:rPr>
        <w:t xml:space="preserve">; </w:t>
      </w:r>
      <w:hyperlink r:id="rId8" w:anchor="v=onepage&amp;q&amp;f=false" w:history="1">
        <w:r w:rsidR="008C66D8" w:rsidRPr="008C66D8">
          <w:rPr>
            <w:rStyle w:val="Collegamentoipertestuale"/>
            <w:sz w:val="32"/>
            <w:szCs w:val="32"/>
          </w:rPr>
          <w:t>1885/86</w:t>
        </w:r>
      </w:hyperlink>
      <w:r w:rsidR="008C66D8" w:rsidRPr="008C66D8">
        <w:rPr>
          <w:sz w:val="32"/>
          <w:szCs w:val="32"/>
        </w:rPr>
        <w:t xml:space="preserve">; </w:t>
      </w:r>
      <w:hyperlink r:id="rId9" w:anchor="v=onepage&amp;q&amp;f=false" w:history="1">
        <w:r w:rsidR="008C66D8" w:rsidRPr="008C66D8">
          <w:rPr>
            <w:rStyle w:val="Collegamentoipertestuale"/>
            <w:sz w:val="32"/>
            <w:szCs w:val="32"/>
          </w:rPr>
          <w:t>1886/87</w:t>
        </w:r>
      </w:hyperlink>
    </w:p>
    <w:p w14:paraId="09366623" w14:textId="77777777" w:rsidR="000F16C4" w:rsidRPr="000F16C4" w:rsidRDefault="000F16C4" w:rsidP="000F16C4">
      <w:pPr>
        <w:spacing w:after="0" w:line="240" w:lineRule="auto"/>
        <w:jc w:val="both"/>
      </w:pPr>
    </w:p>
    <w:p w14:paraId="5792DA8A" w14:textId="77777777" w:rsidR="000F16C4" w:rsidRPr="00D7579C" w:rsidRDefault="000F16C4" w:rsidP="000F16C4">
      <w:pPr>
        <w:spacing w:after="0" w:line="240" w:lineRule="auto"/>
        <w:jc w:val="both"/>
        <w:rPr>
          <w:b/>
          <w:bCs/>
          <w:color w:val="C00000"/>
          <w:sz w:val="44"/>
          <w:szCs w:val="44"/>
        </w:rPr>
      </w:pPr>
      <w:r w:rsidRPr="00D7579C">
        <w:rPr>
          <w:b/>
          <w:bCs/>
          <w:color w:val="C00000"/>
          <w:sz w:val="44"/>
          <w:szCs w:val="44"/>
        </w:rPr>
        <w:lastRenderedPageBreak/>
        <w:t>Informazioni storico-bibliografiche</w:t>
      </w:r>
    </w:p>
    <w:p w14:paraId="58D16D95" w14:textId="77777777" w:rsidR="000F16C4" w:rsidRPr="000F16C4" w:rsidRDefault="000F16C4" w:rsidP="000F16C4">
      <w:pPr>
        <w:spacing w:after="0" w:line="240" w:lineRule="auto"/>
        <w:jc w:val="both"/>
        <w:rPr>
          <w:b/>
          <w:bCs/>
        </w:rPr>
      </w:pPr>
      <w:r w:rsidRPr="000F16C4">
        <w:rPr>
          <w:b/>
          <w:bCs/>
        </w:rPr>
        <w:t>Relazioni ufficiali edite dall’Amministrazione postale italiana</w:t>
      </w:r>
    </w:p>
    <w:p w14:paraId="5B9D74A1" w14:textId="77777777" w:rsidR="000F16C4" w:rsidRPr="000F16C4" w:rsidRDefault="000F16C4" w:rsidP="000F16C4">
      <w:pPr>
        <w:spacing w:after="0" w:line="240" w:lineRule="auto"/>
        <w:jc w:val="both"/>
        <w:rPr>
          <w:b/>
          <w:bCs/>
        </w:rPr>
      </w:pPr>
      <w:r w:rsidRPr="000F16C4">
        <w:rPr>
          <w:b/>
          <w:bCs/>
        </w:rPr>
        <w:t>Introduzione</w:t>
      </w:r>
    </w:p>
    <w:p w14:paraId="363FAFF4" w14:textId="558D8950" w:rsidR="000F16C4" w:rsidRPr="000F16C4" w:rsidRDefault="000F16C4" w:rsidP="000F16C4">
      <w:pPr>
        <w:spacing w:after="0" w:line="240" w:lineRule="auto"/>
        <w:jc w:val="both"/>
      </w:pPr>
      <w:r w:rsidRPr="000F16C4">
        <w:t xml:space="preserve">Dopo l’unificazione politica d’Italia nel 1861, </w:t>
      </w:r>
      <w:proofErr w:type="spellStart"/>
      <w:r w:rsidRPr="000F16C4">
        <w:t>postalmente</w:t>
      </w:r>
      <w:proofErr w:type="spellEnd"/>
      <w:r w:rsidRPr="000F16C4">
        <w:t xml:space="preserve"> in alcune regioni erano ancora in vigore alcune norme preunitarie. L’esigenza di sistemare organicamente le questioni postali ed unificare l’Italia anche da questo punto di vista era un’inderogabile necessità politica, che venne risolta con la promulgazione della legge n. 604 del 5 maggio 1862 sulla riforma postale, che entrò in vigore il 1° gennaio 1863.</w:t>
      </w:r>
      <w:r>
        <w:t xml:space="preserve"> </w:t>
      </w:r>
      <w:r w:rsidRPr="000F16C4">
        <w:t xml:space="preserve">La legge stabiliva, tra l’altro, che la Direzione generale delle poste (poi il ministero) dovesse presentare annualmente al ministro ed al Parlamento una </w:t>
      </w:r>
      <w:r w:rsidRPr="000F16C4">
        <w:rPr>
          <w:b/>
          <w:bCs/>
        </w:rPr>
        <w:t>relazione</w:t>
      </w:r>
      <w:r w:rsidRPr="000F16C4">
        <w:t xml:space="preserve"> sull’andamento dei servizi offerti.</w:t>
      </w:r>
      <w:r w:rsidR="008C66D8">
        <w:t xml:space="preserve"> </w:t>
      </w:r>
      <w:r w:rsidRPr="000F16C4">
        <w:t>L’obbligo venne sempre osservato (tranne dal 1942 al 1945): le relazioni annuali erano redatte a stampa in volumi in 4°, con un numero di pagine variabile tra le 100 e le 300, contenenti notizie descrittive e dati statistici sull’Amministrazione e sull’andamento dei servizi offerti, proposti nelle diverse edizioni con maggiore o minore analiticità e con diversa organizzazione delle informazioni.</w:t>
      </w:r>
      <w:r w:rsidR="008C66D8">
        <w:t xml:space="preserve"> </w:t>
      </w:r>
      <w:r w:rsidRPr="000F16C4">
        <w:t xml:space="preserve">Le parti descrittive sono di grande interesse ed affidabilità; alcuni dati statistici devono invece essere utilizzati con cautela e tenendo conto dei metodi di rilevamento molto approssimativi, soprattutto nei conteggi delle corrispondenze </w:t>
      </w:r>
      <w:proofErr w:type="spellStart"/>
      <w:r w:rsidRPr="000F16C4">
        <w:t>indescritte</w:t>
      </w:r>
      <w:proofErr w:type="spellEnd"/>
      <w:r w:rsidRPr="000F16C4">
        <w:t xml:space="preserve"> (si effettuava un conteggio settimanale o quindicinale, moltiplicando semplicemente per 52 o 26 il dato rilevato). Sino al 1883 le Relazioni si riferivano all’anno solare; poi all’anno finanziario, che iniziava il 1° luglio e terminava il 30 giugno dell’anno successivo.</w:t>
      </w:r>
    </w:p>
    <w:p w14:paraId="444DF4DD" w14:textId="77777777" w:rsidR="000F16C4" w:rsidRPr="000F16C4" w:rsidRDefault="000F16C4" w:rsidP="000F16C4">
      <w:pPr>
        <w:spacing w:after="0" w:line="240" w:lineRule="auto"/>
        <w:jc w:val="both"/>
      </w:pPr>
      <w:r w:rsidRPr="000F16C4">
        <w:t xml:space="preserve">I documenti sono liberi da diritti e scaricabili gratuitamente per la libera consultazione. In caso di utilizzo per pubblicazioni, sarà gradita la citazione di questo sito e la comunicazione di ciò via e-mail a </w:t>
      </w:r>
      <w:hyperlink r:id="rId10" w:history="1">
        <w:r w:rsidRPr="000F16C4">
          <w:rPr>
            <w:rStyle w:val="Collegamentoipertestuale"/>
          </w:rPr>
          <w:t>issp@issp.po.it</w:t>
        </w:r>
      </w:hyperlink>
      <w:r w:rsidRPr="000F16C4">
        <w:t>.</w:t>
      </w:r>
    </w:p>
    <w:p w14:paraId="7DB79839" w14:textId="03706B3E" w:rsidR="000F16C4" w:rsidRPr="000F16C4" w:rsidRDefault="000F16C4" w:rsidP="000F16C4">
      <w:pPr>
        <w:spacing w:after="0" w:line="240" w:lineRule="auto"/>
        <w:jc w:val="both"/>
      </w:pPr>
      <w:r w:rsidRPr="000F16C4">
        <w:drawing>
          <wp:inline distT="0" distB="0" distL="0" distR="0" wp14:anchorId="6D6F104E" wp14:editId="657F50B1">
            <wp:extent cx="5939790" cy="3989705"/>
            <wp:effectExtent l="0" t="0" r="3810" b="0"/>
            <wp:docPr id="1067339160" name="Immagine 3" descr="Itinerario ed orario della navigazione postale del regno d'Italia (dalla Relazione del 1864)">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tinerario ed orario della navigazione postale del regno d'Italia (dalla Relazione del 1864)">
                      <a:hlinkClick r:id="rId11" tooltip="&quot;&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790" cy="3989705"/>
                    </a:xfrm>
                    <a:prstGeom prst="rect">
                      <a:avLst/>
                    </a:prstGeom>
                    <a:noFill/>
                    <a:ln>
                      <a:noFill/>
                    </a:ln>
                  </pic:spPr>
                </pic:pic>
              </a:graphicData>
            </a:graphic>
          </wp:inline>
        </w:drawing>
      </w:r>
    </w:p>
    <w:p w14:paraId="0757D007" w14:textId="77777777" w:rsidR="000F16C4" w:rsidRPr="000F16C4" w:rsidRDefault="000F16C4" w:rsidP="000F16C4">
      <w:pPr>
        <w:spacing w:after="0" w:line="240" w:lineRule="auto"/>
        <w:jc w:val="both"/>
      </w:pPr>
      <w:r w:rsidRPr="000F16C4">
        <w:t>Itinerario ed orario della navigazione postale del regno d'Italia</w:t>
      </w:r>
      <w:r w:rsidRPr="000F16C4">
        <w:br/>
        <w:t>(dalla Relazione del 1864)</w:t>
      </w:r>
    </w:p>
    <w:p w14:paraId="57B1F611" w14:textId="217053ED" w:rsidR="0031062F" w:rsidRDefault="000F16C4" w:rsidP="008C66D8">
      <w:pPr>
        <w:spacing w:after="0" w:line="240" w:lineRule="auto"/>
        <w:jc w:val="both"/>
      </w:pPr>
      <w:r w:rsidRPr="000F16C4">
        <w:rPr>
          <w:b/>
          <w:bCs/>
        </w:rPr>
        <w:t>Relazioni dal 1863 al 1942</w:t>
      </w:r>
      <w:r>
        <w:rPr>
          <w:b/>
          <w:bCs/>
        </w:rPr>
        <w:t xml:space="preserve">. </w:t>
      </w:r>
      <w:r w:rsidRPr="000F16C4">
        <w:t xml:space="preserve">Di seguito l'elenco delle relazioni dal 1863 (pubblicata nel 1864) al 1941-42 (pubblicata nel 1949). Molte sono disponibili in formato PDF e scaricabili gratuitamente per la libera consultazione. In caso di utilizzo per pubblicazioni sarà gradita la citazione di questo sito e la comunicazione di ciò via e-mail a </w:t>
      </w:r>
      <w:hyperlink r:id="rId13" w:history="1">
        <w:r w:rsidRPr="000F16C4">
          <w:rPr>
            <w:rStyle w:val="Collegamentoipertestuale"/>
          </w:rPr>
          <w:t>issp@issp.po.it</w:t>
        </w:r>
      </w:hyperlink>
      <w:r w:rsidRPr="000F16C4">
        <w:t>.</w:t>
      </w:r>
      <w:r w:rsidR="008C66D8">
        <w:t xml:space="preserve"> </w:t>
      </w:r>
      <w:hyperlink r:id="rId14" w:history="1">
        <w:r w:rsidRPr="00A74EA1">
          <w:rPr>
            <w:rStyle w:val="Collegamentoipertestuale"/>
          </w:rPr>
          <w:t>https://www.issp.po.it/relazioni-ufficiali/</w:t>
        </w:r>
      </w:hyperlink>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008B"/>
    <w:rsid w:val="000F16C4"/>
    <w:rsid w:val="0031062F"/>
    <w:rsid w:val="003605E3"/>
    <w:rsid w:val="00375F4B"/>
    <w:rsid w:val="003811E4"/>
    <w:rsid w:val="0039008B"/>
    <w:rsid w:val="005627F9"/>
    <w:rsid w:val="00653982"/>
    <w:rsid w:val="008C66D8"/>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9967"/>
  <w15:chartTrackingRefBased/>
  <w15:docId w15:val="{27D1786C-7014-4980-A7E9-E6597A6C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16C4"/>
    <w:rPr>
      <w:rFonts w:ascii="Calibri" w:eastAsia="Calibri" w:hAnsi="Calibri" w:cs="Calibri"/>
      <w:kern w:val="0"/>
      <w14:ligatures w14:val="none"/>
    </w:rPr>
  </w:style>
  <w:style w:type="paragraph" w:styleId="Titolo1">
    <w:name w:val="heading 1"/>
    <w:basedOn w:val="Normale"/>
    <w:next w:val="Normale"/>
    <w:link w:val="Titolo1Carattere"/>
    <w:uiPriority w:val="9"/>
    <w:qFormat/>
    <w:rsid w:val="003900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900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9008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9008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9008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900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00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00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00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008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9008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9008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9008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9008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900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00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00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00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0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00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008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00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008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008B"/>
    <w:rPr>
      <w:i/>
      <w:iCs/>
      <w:color w:val="404040" w:themeColor="text1" w:themeTint="BF"/>
    </w:rPr>
  </w:style>
  <w:style w:type="paragraph" w:styleId="Paragrafoelenco">
    <w:name w:val="List Paragraph"/>
    <w:basedOn w:val="Normale"/>
    <w:uiPriority w:val="34"/>
    <w:qFormat/>
    <w:rsid w:val="0039008B"/>
    <w:pPr>
      <w:ind w:left="720"/>
      <w:contextualSpacing/>
    </w:pPr>
  </w:style>
  <w:style w:type="character" w:styleId="Enfasiintensa">
    <w:name w:val="Intense Emphasis"/>
    <w:basedOn w:val="Carpredefinitoparagrafo"/>
    <w:uiPriority w:val="21"/>
    <w:qFormat/>
    <w:rsid w:val="0039008B"/>
    <w:rPr>
      <w:i/>
      <w:iCs/>
      <w:color w:val="365F91" w:themeColor="accent1" w:themeShade="BF"/>
    </w:rPr>
  </w:style>
  <w:style w:type="paragraph" w:styleId="Citazioneintensa">
    <w:name w:val="Intense Quote"/>
    <w:basedOn w:val="Normale"/>
    <w:next w:val="Normale"/>
    <w:link w:val="CitazioneintensaCarattere"/>
    <w:uiPriority w:val="30"/>
    <w:qFormat/>
    <w:rsid w:val="003900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9008B"/>
    <w:rPr>
      <w:i/>
      <w:iCs/>
      <w:color w:val="365F91" w:themeColor="accent1" w:themeShade="BF"/>
    </w:rPr>
  </w:style>
  <w:style w:type="character" w:styleId="Riferimentointenso">
    <w:name w:val="Intense Reference"/>
    <w:basedOn w:val="Carpredefinitoparagrafo"/>
    <w:uiPriority w:val="32"/>
    <w:qFormat/>
    <w:rsid w:val="0039008B"/>
    <w:rPr>
      <w:b/>
      <w:bCs/>
      <w:smallCaps/>
      <w:color w:val="365F91" w:themeColor="accent1" w:themeShade="BF"/>
      <w:spacing w:val="5"/>
    </w:rPr>
  </w:style>
  <w:style w:type="character" w:styleId="Collegamentoipertestuale">
    <w:name w:val="Hyperlink"/>
    <w:basedOn w:val="Carpredefinitoparagrafo"/>
    <w:uiPriority w:val="99"/>
    <w:unhideWhenUsed/>
    <w:rsid w:val="000F16C4"/>
    <w:rPr>
      <w:color w:val="0000FF" w:themeColor="hyperlink"/>
      <w:u w:val="single"/>
    </w:rPr>
  </w:style>
  <w:style w:type="character" w:styleId="Menzionenonrisolta">
    <w:name w:val="Unresolved Mention"/>
    <w:basedOn w:val="Carpredefinitoparagrafo"/>
    <w:uiPriority w:val="99"/>
    <w:semiHidden/>
    <w:unhideWhenUsed/>
    <w:rsid w:val="000F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it/books?id=YH5qlxjI7kAC&amp;printsec=frontcover&amp;hl=it&amp;source=gbs_ge_summary_r&amp;cad=0" TargetMode="External"/><Relationship Id="rId13" Type="http://schemas.openxmlformats.org/officeDocument/2006/relationships/hyperlink" Target="mailto:issp@issp.po.it" TargetMode="External"/><Relationship Id="rId3" Type="http://schemas.openxmlformats.org/officeDocument/2006/relationships/webSettings" Target="webSettings.xml"/><Relationship Id="rId7" Type="http://schemas.openxmlformats.org/officeDocument/2006/relationships/hyperlink" Target="https://books.google.it/books?id=m875XEahwP0C&amp;printsec=frontcover&amp;hl=it&amp;source=gbs_ge_summary_r&amp;cad=0"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ssp.po.it/relazioni-ufficiali/" TargetMode="External"/><Relationship Id="rId11" Type="http://schemas.openxmlformats.org/officeDocument/2006/relationships/hyperlink" Target="https://www.issp.po.it/wp-content/uploads/immagini/fonti/ISSP-carta-relazione-1864.jpg"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mailto:issp@issp.po.it" TargetMode="External"/><Relationship Id="rId4" Type="http://schemas.openxmlformats.org/officeDocument/2006/relationships/image" Target="media/image1.png"/><Relationship Id="rId9" Type="http://schemas.openxmlformats.org/officeDocument/2006/relationships/hyperlink" Target="https://books.google.it/books?id=P9c_s5n6KgYC&amp;printsec=frontcover&amp;hl=it&amp;source=gbs_ge_summary_r&amp;cad=0" TargetMode="External"/><Relationship Id="rId14" Type="http://schemas.openxmlformats.org/officeDocument/2006/relationships/hyperlink" Target="https://www.issp.po.it/relazioni-ufficia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577</Words>
  <Characters>3290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2026-01-20T15:47:00Z</dcterms:created>
  <dcterms:modified xsi:type="dcterms:W3CDTF">2026-01-20T16:18:00Z</dcterms:modified>
</cp:coreProperties>
</file>