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CEF1" w14:textId="28FE791B" w:rsidR="00D85771" w:rsidRDefault="00D85771" w:rsidP="00FE627B">
      <w:pPr>
        <w:spacing w:after="0" w:line="240" w:lineRule="auto"/>
        <w:jc w:val="both"/>
        <w:rPr>
          <w:rFonts w:cstheme="minorHAnsi"/>
          <w:i/>
          <w:sz w:val="16"/>
          <w:szCs w:val="16"/>
        </w:rPr>
      </w:pPr>
      <w:bookmarkStart w:id="0" w:name="_Hlk187861283"/>
      <w:r>
        <w:rPr>
          <w:rFonts w:cstheme="minorHAnsi"/>
          <w:b/>
          <w:color w:val="C00000"/>
          <w:sz w:val="44"/>
          <w:szCs w:val="44"/>
        </w:rPr>
        <w:t>XU1050</w:t>
      </w:r>
      <w:r w:rsidRPr="00926555">
        <w:rPr>
          <w:rFonts w:cstheme="minorHAnsi"/>
          <w:b/>
        </w:rPr>
        <w:tab/>
      </w:r>
      <w:r w:rsidRPr="00926555">
        <w:rPr>
          <w:rFonts w:cstheme="minorHAnsi"/>
          <w:b/>
        </w:rPr>
        <w:tab/>
      </w:r>
      <w:r w:rsidRPr="00926555">
        <w:rPr>
          <w:rFonts w:cstheme="minorHAnsi"/>
          <w:b/>
          <w:sz w:val="16"/>
          <w:szCs w:val="16"/>
        </w:rPr>
        <w:tab/>
      </w:r>
      <w:r w:rsidRPr="00926555">
        <w:rPr>
          <w:rFonts w:cstheme="minorHAnsi"/>
          <w:b/>
          <w:sz w:val="16"/>
          <w:szCs w:val="16"/>
        </w:rPr>
        <w:tab/>
      </w:r>
      <w:r w:rsidRPr="00926555">
        <w:rPr>
          <w:rFonts w:cstheme="minorHAnsi"/>
          <w:i/>
          <w:sz w:val="16"/>
          <w:szCs w:val="16"/>
        </w:rPr>
        <w:t>Scheda creata il 1</w:t>
      </w:r>
      <w:r>
        <w:rPr>
          <w:rFonts w:cstheme="minorHAnsi"/>
          <w:i/>
          <w:sz w:val="16"/>
          <w:szCs w:val="16"/>
        </w:rPr>
        <w:t>5 gennaio 2025</w:t>
      </w:r>
      <w:r w:rsidR="00CB7B4A">
        <w:rPr>
          <w:rFonts w:cstheme="minorHAnsi"/>
          <w:i/>
          <w:sz w:val="16"/>
          <w:szCs w:val="16"/>
        </w:rPr>
        <w:t>; Ultimo aggiornamento: 26 settembre 2025</w:t>
      </w:r>
    </w:p>
    <w:p w14:paraId="0D557756" w14:textId="326C17AD" w:rsidR="00D85771" w:rsidRPr="0090456E" w:rsidRDefault="00D85771" w:rsidP="00FE627B">
      <w:pPr>
        <w:spacing w:after="0" w:line="240" w:lineRule="auto"/>
        <w:jc w:val="both"/>
        <w:rPr>
          <w:rFonts w:cstheme="minorHAnsi"/>
          <w:b/>
          <w:color w:val="C00000"/>
          <w:sz w:val="44"/>
          <w:szCs w:val="44"/>
        </w:rPr>
      </w:pPr>
      <w:r w:rsidRPr="0090456E">
        <w:rPr>
          <w:rFonts w:cstheme="minorHAnsi"/>
          <w:b/>
          <w:color w:val="C00000"/>
          <w:sz w:val="44"/>
          <w:szCs w:val="44"/>
        </w:rPr>
        <w:t xml:space="preserve">Descrizione </w:t>
      </w:r>
      <w:r w:rsidR="00DC7447">
        <w:rPr>
          <w:rFonts w:cstheme="minorHAnsi"/>
          <w:b/>
          <w:color w:val="C00000"/>
          <w:sz w:val="44"/>
          <w:szCs w:val="44"/>
        </w:rPr>
        <w:t>storico-</w:t>
      </w:r>
      <w:r w:rsidRPr="0090456E">
        <w:rPr>
          <w:rFonts w:cstheme="minorHAnsi"/>
          <w:b/>
          <w:color w:val="C00000"/>
          <w:sz w:val="44"/>
          <w:szCs w:val="44"/>
        </w:rPr>
        <w:t>bibliografica</w:t>
      </w:r>
    </w:p>
    <w:bookmarkEnd w:id="0"/>
    <w:p w14:paraId="72161650" w14:textId="1A3D1D99" w:rsidR="00FE627B" w:rsidRDefault="00FE627B" w:rsidP="00CB7B4A">
      <w:pPr>
        <w:spacing w:after="0" w:line="240" w:lineRule="auto"/>
        <w:jc w:val="center"/>
      </w:pPr>
      <w:r w:rsidRPr="00FE627B">
        <w:rPr>
          <w:noProof/>
        </w:rPr>
        <w:drawing>
          <wp:inline distT="0" distB="0" distL="0" distR="0" wp14:anchorId="1BED47CD" wp14:editId="686909D3">
            <wp:extent cx="1767600" cy="2520000"/>
            <wp:effectExtent l="0" t="0" r="4445" b="0"/>
            <wp:docPr id="769468921" name="Immagine 2" descr="Copertina ant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frontcover" descr="Copertina anteri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7600" cy="2520000"/>
                    </a:xfrm>
                    <a:prstGeom prst="rect">
                      <a:avLst/>
                    </a:prstGeom>
                    <a:noFill/>
                    <a:ln>
                      <a:noFill/>
                    </a:ln>
                  </pic:spPr>
                </pic:pic>
              </a:graphicData>
            </a:graphic>
          </wp:inline>
        </w:drawing>
      </w:r>
      <w:r w:rsidRPr="00FE627B">
        <w:rPr>
          <w:noProof/>
        </w:rPr>
        <w:drawing>
          <wp:inline distT="0" distB="0" distL="0" distR="0" wp14:anchorId="6BAE1AEA" wp14:editId="20AACFA0">
            <wp:extent cx="1771200" cy="2520000"/>
            <wp:effectExtent l="0" t="0" r="635" b="0"/>
            <wp:docPr id="1988907473" name="Immagine 1" descr="Immagine che contiene testo, libro,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07473" name="Immagine 1" descr="Immagine che contiene testo, libro, bianco e nero&#10;&#10;Descrizione generata automaticamente"/>
                    <pic:cNvPicPr/>
                  </pic:nvPicPr>
                  <pic:blipFill>
                    <a:blip r:embed="rId5"/>
                    <a:stretch>
                      <a:fillRect/>
                    </a:stretch>
                  </pic:blipFill>
                  <pic:spPr>
                    <a:xfrm>
                      <a:off x="0" y="0"/>
                      <a:ext cx="1771200" cy="2520000"/>
                    </a:xfrm>
                    <a:prstGeom prst="rect">
                      <a:avLst/>
                    </a:prstGeom>
                  </pic:spPr>
                </pic:pic>
              </a:graphicData>
            </a:graphic>
          </wp:inline>
        </w:drawing>
      </w:r>
      <w:r w:rsidRPr="00FE627B">
        <w:rPr>
          <w:noProof/>
        </w:rPr>
        <w:drawing>
          <wp:inline distT="0" distB="0" distL="0" distR="0" wp14:anchorId="60472DC3" wp14:editId="53EBFD26">
            <wp:extent cx="1652400" cy="2520000"/>
            <wp:effectExtent l="0" t="0" r="5080" b="0"/>
            <wp:docPr id="2135672146" name="Immagine 1" descr="Immagine che contiene testo, statico, libro, ca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672146" name="Immagine 1" descr="Immagine che contiene testo, statico, libro, carta&#10;&#10;Descrizione generata automaticamente"/>
                    <pic:cNvPicPr/>
                  </pic:nvPicPr>
                  <pic:blipFill>
                    <a:blip r:embed="rId6"/>
                    <a:stretch>
                      <a:fillRect/>
                    </a:stretch>
                  </pic:blipFill>
                  <pic:spPr>
                    <a:xfrm>
                      <a:off x="0" y="0"/>
                      <a:ext cx="1652400" cy="2520000"/>
                    </a:xfrm>
                    <a:prstGeom prst="rect">
                      <a:avLst/>
                    </a:prstGeom>
                  </pic:spPr>
                </pic:pic>
              </a:graphicData>
            </a:graphic>
          </wp:inline>
        </w:drawing>
      </w:r>
      <w:r w:rsidRPr="00FE627B">
        <w:rPr>
          <w:noProof/>
        </w:rPr>
        <w:drawing>
          <wp:inline distT="0" distB="0" distL="0" distR="0" wp14:anchorId="33ACD4E3" wp14:editId="0686F04F">
            <wp:extent cx="1486800" cy="2160000"/>
            <wp:effectExtent l="0" t="0" r="0" b="0"/>
            <wp:docPr id="564647347" name="Immagine 1" descr="Immagine che contiene testo, libro, bianco e nero, monocromat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47347" name="Immagine 1" descr="Immagine che contiene testo, libro, bianco e nero, monocromatico&#10;&#10;Descrizione generata automaticamente"/>
                    <pic:cNvPicPr/>
                  </pic:nvPicPr>
                  <pic:blipFill>
                    <a:blip r:embed="rId7"/>
                    <a:stretch>
                      <a:fillRect/>
                    </a:stretch>
                  </pic:blipFill>
                  <pic:spPr>
                    <a:xfrm>
                      <a:off x="0" y="0"/>
                      <a:ext cx="1486800" cy="2160000"/>
                    </a:xfrm>
                    <a:prstGeom prst="rect">
                      <a:avLst/>
                    </a:prstGeom>
                  </pic:spPr>
                </pic:pic>
              </a:graphicData>
            </a:graphic>
          </wp:inline>
        </w:drawing>
      </w:r>
      <w:r w:rsidR="00CB7B4A">
        <w:rPr>
          <w:noProof/>
        </w:rPr>
        <w:drawing>
          <wp:inline distT="0" distB="0" distL="0" distR="0" wp14:anchorId="15B61C3D" wp14:editId="01BDC040">
            <wp:extent cx="1360800" cy="2160000"/>
            <wp:effectExtent l="0" t="0" r="0" b="0"/>
            <wp:docPr id="11388184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0" cy="2160000"/>
                    </a:xfrm>
                    <a:prstGeom prst="rect">
                      <a:avLst/>
                    </a:prstGeom>
                    <a:noFill/>
                  </pic:spPr>
                </pic:pic>
              </a:graphicData>
            </a:graphic>
          </wp:inline>
        </w:drawing>
      </w:r>
      <w:r w:rsidR="00CB7B4A">
        <w:rPr>
          <w:noProof/>
        </w:rPr>
        <w:drawing>
          <wp:inline distT="0" distB="0" distL="0" distR="0" wp14:anchorId="16E5556E" wp14:editId="6784F78B">
            <wp:extent cx="1580400" cy="2160000"/>
            <wp:effectExtent l="0" t="0" r="1270" b="0"/>
            <wp:docPr id="2269822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400" cy="2160000"/>
                    </a:xfrm>
                    <a:prstGeom prst="rect">
                      <a:avLst/>
                    </a:prstGeom>
                    <a:noFill/>
                  </pic:spPr>
                </pic:pic>
              </a:graphicData>
            </a:graphic>
          </wp:inline>
        </w:drawing>
      </w:r>
    </w:p>
    <w:p w14:paraId="76A66F2D" w14:textId="368BB753" w:rsidR="009D04EE" w:rsidRPr="00CB7B4A" w:rsidRDefault="009D04EE" w:rsidP="00FE627B">
      <w:pPr>
        <w:spacing w:after="0" w:line="240" w:lineRule="auto"/>
        <w:jc w:val="both"/>
        <w:rPr>
          <w:sz w:val="20"/>
          <w:szCs w:val="20"/>
        </w:rPr>
      </w:pPr>
      <w:r w:rsidRPr="00CB7B4A">
        <w:rPr>
          <w:sz w:val="20"/>
          <w:szCs w:val="20"/>
        </w:rPr>
        <w:t>*</w:t>
      </w:r>
      <w:r w:rsidRPr="00CB7B4A">
        <w:rPr>
          <w:b/>
          <w:bCs/>
          <w:sz w:val="20"/>
          <w:szCs w:val="20"/>
        </w:rPr>
        <w:t>Guida statistica della provincia di Milano</w:t>
      </w:r>
      <w:r w:rsidRPr="00CB7B4A">
        <w:rPr>
          <w:sz w:val="20"/>
          <w:szCs w:val="20"/>
        </w:rPr>
        <w:t xml:space="preserve">. - 1847-1858. - </w:t>
      </w:r>
      <w:proofErr w:type="gramStart"/>
      <w:r w:rsidRPr="00CB7B4A">
        <w:rPr>
          <w:sz w:val="20"/>
          <w:szCs w:val="20"/>
        </w:rPr>
        <w:t>Milano :</w:t>
      </w:r>
      <w:proofErr w:type="gramEnd"/>
      <w:r w:rsidRPr="00CB7B4A">
        <w:rPr>
          <w:sz w:val="20"/>
          <w:szCs w:val="20"/>
        </w:rPr>
        <w:t xml:space="preserve"> per Luigi di Giacomo Pirola, 1847-1858. – </w:t>
      </w:r>
      <w:proofErr w:type="gramStart"/>
      <w:r w:rsidRPr="00CB7B4A">
        <w:rPr>
          <w:sz w:val="20"/>
          <w:szCs w:val="20"/>
        </w:rPr>
        <w:t>volumi ;</w:t>
      </w:r>
      <w:proofErr w:type="gramEnd"/>
      <w:r w:rsidRPr="00CB7B4A">
        <w:rPr>
          <w:sz w:val="20"/>
          <w:szCs w:val="20"/>
        </w:rPr>
        <w:t xml:space="preserve"> 19 cm. ((Annuale. - PUV0127332</w:t>
      </w:r>
    </w:p>
    <w:p w14:paraId="23223B34" w14:textId="13CEB588" w:rsidR="009D04EE" w:rsidRPr="00CB7B4A" w:rsidRDefault="009D04EE" w:rsidP="00FE627B">
      <w:pPr>
        <w:spacing w:after="0" w:line="240" w:lineRule="auto"/>
        <w:jc w:val="both"/>
        <w:rPr>
          <w:sz w:val="20"/>
          <w:szCs w:val="20"/>
        </w:rPr>
      </w:pPr>
      <w:r w:rsidRPr="00CB7B4A">
        <w:rPr>
          <w:sz w:val="20"/>
          <w:szCs w:val="20"/>
        </w:rPr>
        <w:t>Varianti del titolo: *Seguito alla guida statistica 1848 della provincia di Milano per l'anno 1849 (1849); *Guida statistica della Provincia di Milano per l'anno (1850</w:t>
      </w:r>
      <w:r w:rsidR="00FE627B" w:rsidRPr="00CB7B4A">
        <w:rPr>
          <w:sz w:val="20"/>
          <w:szCs w:val="20"/>
        </w:rPr>
        <w:t>-1851</w:t>
      </w:r>
      <w:r w:rsidRPr="00CB7B4A">
        <w:rPr>
          <w:sz w:val="20"/>
          <w:szCs w:val="20"/>
        </w:rPr>
        <w:t>)</w:t>
      </w:r>
    </w:p>
    <w:p w14:paraId="16F3603A" w14:textId="69E462AD" w:rsidR="009D04EE" w:rsidRPr="00CB7B4A" w:rsidRDefault="009D04EE" w:rsidP="00FE627B">
      <w:pPr>
        <w:spacing w:after="0" w:line="240" w:lineRule="auto"/>
        <w:jc w:val="both"/>
        <w:rPr>
          <w:sz w:val="20"/>
          <w:szCs w:val="20"/>
        </w:rPr>
      </w:pPr>
      <w:bookmarkStart w:id="1" w:name="_Hlk209803161"/>
      <w:r w:rsidRPr="00CB7B4A">
        <w:rPr>
          <w:sz w:val="20"/>
          <w:szCs w:val="20"/>
        </w:rPr>
        <w:t xml:space="preserve">Soggetto: Milano &lt;provincia&gt; - </w:t>
      </w:r>
      <w:r w:rsidR="00FE627B" w:rsidRPr="00CB7B4A">
        <w:rPr>
          <w:sz w:val="20"/>
          <w:szCs w:val="20"/>
        </w:rPr>
        <w:t>S</w:t>
      </w:r>
      <w:r w:rsidRPr="00CB7B4A">
        <w:rPr>
          <w:sz w:val="20"/>
          <w:szCs w:val="20"/>
        </w:rPr>
        <w:t>tatistica – 1847-1858</w:t>
      </w:r>
    </w:p>
    <w:bookmarkEnd w:id="1"/>
    <w:p w14:paraId="440A65A0" w14:textId="47F108AC" w:rsidR="00FE627B" w:rsidRPr="00CB7B4A" w:rsidRDefault="00FE627B" w:rsidP="00FE627B">
      <w:pPr>
        <w:spacing w:after="0" w:line="240" w:lineRule="auto"/>
        <w:jc w:val="both"/>
        <w:rPr>
          <w:sz w:val="20"/>
          <w:szCs w:val="20"/>
        </w:rPr>
      </w:pPr>
      <w:r w:rsidRPr="00CB7B4A">
        <w:rPr>
          <w:b/>
          <w:bCs/>
          <w:color w:val="C00000"/>
          <w:sz w:val="20"/>
          <w:szCs w:val="20"/>
        </w:rPr>
        <w:t>Copia digitale</w:t>
      </w:r>
      <w:r w:rsidRPr="00CB7B4A">
        <w:rPr>
          <w:sz w:val="20"/>
          <w:szCs w:val="20"/>
        </w:rPr>
        <w:t xml:space="preserve">: </w:t>
      </w:r>
      <w:hyperlink r:id="rId10" w:anchor="v=onepage&amp;q&amp;f=false" w:history="1">
        <w:r w:rsidRPr="00CB7B4A">
          <w:rPr>
            <w:rStyle w:val="Collegamentoipertestuale"/>
            <w:sz w:val="20"/>
            <w:szCs w:val="20"/>
          </w:rPr>
          <w:t>1848</w:t>
        </w:r>
      </w:hyperlink>
      <w:r w:rsidRPr="00CB7B4A">
        <w:rPr>
          <w:sz w:val="20"/>
          <w:szCs w:val="20"/>
        </w:rPr>
        <w:t xml:space="preserve">; </w:t>
      </w:r>
      <w:hyperlink r:id="rId11" w:anchor="page/4/mode/2up" w:history="1">
        <w:r w:rsidRPr="00CB7B4A">
          <w:rPr>
            <w:rStyle w:val="Collegamentoipertestuale"/>
            <w:sz w:val="20"/>
            <w:szCs w:val="20"/>
          </w:rPr>
          <w:t>1850</w:t>
        </w:r>
      </w:hyperlink>
      <w:r w:rsidRPr="00CB7B4A">
        <w:rPr>
          <w:sz w:val="20"/>
          <w:szCs w:val="20"/>
        </w:rPr>
        <w:t xml:space="preserve">; </w:t>
      </w:r>
      <w:hyperlink r:id="rId12" w:history="1">
        <w:r w:rsidRPr="00CB7B4A">
          <w:rPr>
            <w:rStyle w:val="Collegamentoipertestuale"/>
            <w:sz w:val="20"/>
            <w:szCs w:val="20"/>
          </w:rPr>
          <w:t>1851</w:t>
        </w:r>
      </w:hyperlink>
      <w:r w:rsidRPr="00CB7B4A">
        <w:rPr>
          <w:sz w:val="20"/>
          <w:szCs w:val="20"/>
        </w:rPr>
        <w:t xml:space="preserve">; </w:t>
      </w:r>
      <w:hyperlink r:id="rId13" w:history="1">
        <w:r w:rsidRPr="00CB7B4A">
          <w:rPr>
            <w:rStyle w:val="Collegamentoipertestuale"/>
            <w:sz w:val="20"/>
            <w:szCs w:val="20"/>
          </w:rPr>
          <w:t>1853</w:t>
        </w:r>
      </w:hyperlink>
    </w:p>
    <w:p w14:paraId="03D662AD" w14:textId="77777777" w:rsidR="00FE627B" w:rsidRPr="00CB7B4A" w:rsidRDefault="00FE627B" w:rsidP="00FE627B">
      <w:pPr>
        <w:spacing w:after="0" w:line="240" w:lineRule="auto"/>
        <w:jc w:val="both"/>
        <w:rPr>
          <w:sz w:val="20"/>
          <w:szCs w:val="20"/>
        </w:rPr>
      </w:pPr>
    </w:p>
    <w:p w14:paraId="567ACC9A" w14:textId="77777777" w:rsidR="00CB7B4A" w:rsidRPr="00CB7B4A" w:rsidRDefault="00CB7B4A" w:rsidP="00CB7B4A">
      <w:pPr>
        <w:spacing w:after="0" w:line="240" w:lineRule="auto"/>
        <w:jc w:val="both"/>
        <w:rPr>
          <w:sz w:val="20"/>
          <w:szCs w:val="20"/>
        </w:rPr>
      </w:pPr>
      <w:r w:rsidRPr="00CB7B4A">
        <w:rPr>
          <w:sz w:val="20"/>
          <w:szCs w:val="20"/>
        </w:rPr>
        <w:t>*</w:t>
      </w:r>
      <w:r w:rsidRPr="00CB7B4A">
        <w:rPr>
          <w:b/>
          <w:bCs/>
          <w:sz w:val="20"/>
          <w:szCs w:val="20"/>
        </w:rPr>
        <w:t xml:space="preserve">Annuario statistico della Provincia di Milano per l'anno </w:t>
      </w:r>
      <w:r w:rsidRPr="00CB7B4A">
        <w:rPr>
          <w:sz w:val="20"/>
          <w:szCs w:val="20"/>
        </w:rPr>
        <w:t>.... - Anno 1 (</w:t>
      </w:r>
      <w:proofErr w:type="gramStart"/>
      <w:r w:rsidRPr="00CB7B4A">
        <w:rPr>
          <w:sz w:val="20"/>
          <w:szCs w:val="20"/>
        </w:rPr>
        <w:t>1859)-</w:t>
      </w:r>
      <w:proofErr w:type="gramEnd"/>
      <w:r w:rsidRPr="00CB7B4A">
        <w:rPr>
          <w:sz w:val="20"/>
          <w:szCs w:val="20"/>
        </w:rPr>
        <w:t xml:space="preserve">anno 2 (1860). - </w:t>
      </w:r>
      <w:proofErr w:type="gramStart"/>
      <w:r w:rsidRPr="00CB7B4A">
        <w:rPr>
          <w:sz w:val="20"/>
          <w:szCs w:val="20"/>
        </w:rPr>
        <w:t>Milano :</w:t>
      </w:r>
      <w:proofErr w:type="gramEnd"/>
      <w:r w:rsidRPr="00CB7B4A">
        <w:rPr>
          <w:sz w:val="20"/>
          <w:szCs w:val="20"/>
        </w:rPr>
        <w:t xml:space="preserve"> per Luigi di G. Pirola, 1859-1860. - 2 </w:t>
      </w:r>
      <w:proofErr w:type="gramStart"/>
      <w:r w:rsidRPr="00CB7B4A">
        <w:rPr>
          <w:sz w:val="20"/>
          <w:szCs w:val="20"/>
        </w:rPr>
        <w:t>volumi ;</w:t>
      </w:r>
      <w:proofErr w:type="gramEnd"/>
      <w:r w:rsidRPr="00CB7B4A">
        <w:rPr>
          <w:sz w:val="20"/>
          <w:szCs w:val="20"/>
        </w:rPr>
        <w:t xml:space="preserve"> 18 cm. - TO00176485</w:t>
      </w:r>
    </w:p>
    <w:p w14:paraId="40080165" w14:textId="77777777" w:rsidR="00CB7B4A" w:rsidRPr="00CB7B4A" w:rsidRDefault="00CB7B4A" w:rsidP="00CB7B4A">
      <w:pPr>
        <w:spacing w:after="0" w:line="240" w:lineRule="auto"/>
        <w:jc w:val="both"/>
        <w:rPr>
          <w:sz w:val="20"/>
          <w:szCs w:val="20"/>
        </w:rPr>
      </w:pPr>
      <w:r w:rsidRPr="00CB7B4A">
        <w:rPr>
          <w:sz w:val="20"/>
          <w:szCs w:val="20"/>
        </w:rPr>
        <w:t>Autore: Milano &lt;Provincia&gt;</w:t>
      </w:r>
    </w:p>
    <w:p w14:paraId="0E2A442E" w14:textId="079C8C7E" w:rsidR="00CB7B4A" w:rsidRPr="00CB7B4A" w:rsidRDefault="00CB7B4A" w:rsidP="00CB7B4A">
      <w:pPr>
        <w:spacing w:after="0" w:line="240" w:lineRule="auto"/>
        <w:jc w:val="both"/>
        <w:rPr>
          <w:sz w:val="20"/>
          <w:szCs w:val="20"/>
        </w:rPr>
      </w:pPr>
      <w:r w:rsidRPr="00CB7B4A">
        <w:rPr>
          <w:sz w:val="20"/>
          <w:szCs w:val="20"/>
        </w:rPr>
        <w:t>Soggetto: Milano &lt;provincia&gt; - Statistica – 18</w:t>
      </w:r>
      <w:r w:rsidRPr="00CB7B4A">
        <w:rPr>
          <w:sz w:val="20"/>
          <w:szCs w:val="20"/>
        </w:rPr>
        <w:t>59</w:t>
      </w:r>
      <w:r w:rsidRPr="00CB7B4A">
        <w:rPr>
          <w:sz w:val="20"/>
          <w:szCs w:val="20"/>
        </w:rPr>
        <w:t>-18</w:t>
      </w:r>
      <w:r w:rsidRPr="00CB7B4A">
        <w:rPr>
          <w:sz w:val="20"/>
          <w:szCs w:val="20"/>
        </w:rPr>
        <w:t>60</w:t>
      </w:r>
    </w:p>
    <w:p w14:paraId="1A569D8F" w14:textId="77777777" w:rsidR="00CB7B4A" w:rsidRPr="00CB7B4A" w:rsidRDefault="00CB7B4A" w:rsidP="00CB7B4A">
      <w:pPr>
        <w:spacing w:after="0" w:line="240" w:lineRule="auto"/>
        <w:jc w:val="both"/>
        <w:rPr>
          <w:sz w:val="20"/>
          <w:szCs w:val="20"/>
        </w:rPr>
      </w:pPr>
    </w:p>
    <w:p w14:paraId="06864CF1" w14:textId="77777777" w:rsidR="00CB7B4A" w:rsidRPr="00CB7B4A" w:rsidRDefault="00CB7B4A" w:rsidP="00CB7B4A">
      <w:pPr>
        <w:spacing w:after="0" w:line="240" w:lineRule="auto"/>
        <w:jc w:val="both"/>
        <w:rPr>
          <w:sz w:val="20"/>
          <w:szCs w:val="20"/>
        </w:rPr>
      </w:pPr>
      <w:r w:rsidRPr="00CB7B4A">
        <w:rPr>
          <w:sz w:val="20"/>
          <w:szCs w:val="20"/>
        </w:rPr>
        <w:t>*</w:t>
      </w:r>
      <w:r w:rsidRPr="00CB7B4A">
        <w:rPr>
          <w:b/>
          <w:bCs/>
          <w:sz w:val="20"/>
          <w:szCs w:val="20"/>
        </w:rPr>
        <w:t>Annuario statistico delle Provincie di Lombardia per l'anno</w:t>
      </w:r>
      <w:r w:rsidRPr="00CB7B4A">
        <w:rPr>
          <w:sz w:val="20"/>
          <w:szCs w:val="20"/>
        </w:rPr>
        <w:t xml:space="preserve"> ... compilato su dati ufficiali dal ragioniere Angelo Dell'Acqua. - Anno 3 (</w:t>
      </w:r>
      <w:proofErr w:type="gramStart"/>
      <w:r w:rsidRPr="00CB7B4A">
        <w:rPr>
          <w:sz w:val="20"/>
          <w:szCs w:val="20"/>
        </w:rPr>
        <w:t>1861)-</w:t>
      </w:r>
      <w:proofErr w:type="gramEnd"/>
      <w:r w:rsidRPr="00CB7B4A">
        <w:rPr>
          <w:sz w:val="20"/>
          <w:szCs w:val="20"/>
        </w:rPr>
        <w:t xml:space="preserve">anno 4 (1862). - </w:t>
      </w:r>
      <w:proofErr w:type="gramStart"/>
      <w:r w:rsidRPr="00CB7B4A">
        <w:rPr>
          <w:sz w:val="20"/>
          <w:szCs w:val="20"/>
        </w:rPr>
        <w:t>Milano :</w:t>
      </w:r>
      <w:proofErr w:type="gramEnd"/>
      <w:r w:rsidRPr="00CB7B4A">
        <w:rPr>
          <w:sz w:val="20"/>
          <w:szCs w:val="20"/>
        </w:rPr>
        <w:t xml:space="preserve"> dalla Regia Stamperia, [</w:t>
      </w:r>
      <w:proofErr w:type="gramStart"/>
      <w:r w:rsidRPr="00CB7B4A">
        <w:rPr>
          <w:sz w:val="20"/>
          <w:szCs w:val="20"/>
        </w:rPr>
        <w:t>1861]-</w:t>
      </w:r>
      <w:proofErr w:type="gramEnd"/>
      <w:r w:rsidRPr="00CB7B4A">
        <w:rPr>
          <w:sz w:val="20"/>
          <w:szCs w:val="20"/>
        </w:rPr>
        <w:t xml:space="preserve">1862. - 2 </w:t>
      </w:r>
      <w:proofErr w:type="gramStart"/>
      <w:r w:rsidRPr="00CB7B4A">
        <w:rPr>
          <w:sz w:val="20"/>
          <w:szCs w:val="20"/>
        </w:rPr>
        <w:t>volumi ;</w:t>
      </w:r>
      <w:proofErr w:type="gramEnd"/>
      <w:r w:rsidRPr="00CB7B4A">
        <w:rPr>
          <w:sz w:val="20"/>
          <w:szCs w:val="20"/>
        </w:rPr>
        <w:t xml:space="preserve"> 23 cm. ((Nel 1862 editore: A. Ripamonti. - TO00743137</w:t>
      </w:r>
    </w:p>
    <w:p w14:paraId="69425DD0" w14:textId="328F3120" w:rsidR="00CB7B4A" w:rsidRPr="00CB7B4A" w:rsidRDefault="00CB7B4A" w:rsidP="00CB7B4A">
      <w:pPr>
        <w:spacing w:after="0" w:line="240" w:lineRule="auto"/>
        <w:jc w:val="both"/>
        <w:rPr>
          <w:sz w:val="20"/>
          <w:szCs w:val="20"/>
        </w:rPr>
      </w:pPr>
      <w:r w:rsidRPr="00CB7B4A">
        <w:rPr>
          <w:sz w:val="20"/>
          <w:szCs w:val="20"/>
        </w:rPr>
        <w:t xml:space="preserve">Soggetto: Lombardia – Statistica </w:t>
      </w:r>
      <w:r w:rsidRPr="00CB7B4A">
        <w:rPr>
          <w:sz w:val="20"/>
          <w:szCs w:val="20"/>
        </w:rPr>
        <w:t>–</w:t>
      </w:r>
      <w:r w:rsidRPr="00CB7B4A">
        <w:rPr>
          <w:sz w:val="20"/>
          <w:szCs w:val="20"/>
        </w:rPr>
        <w:t xml:space="preserve"> </w:t>
      </w:r>
      <w:r w:rsidRPr="00CB7B4A">
        <w:rPr>
          <w:sz w:val="20"/>
          <w:szCs w:val="20"/>
        </w:rPr>
        <w:t>1861-1862</w:t>
      </w:r>
    </w:p>
    <w:p w14:paraId="3215F178" w14:textId="77777777" w:rsidR="00CB7B4A" w:rsidRPr="00CB7B4A" w:rsidRDefault="00CB7B4A" w:rsidP="00CB7B4A">
      <w:pPr>
        <w:spacing w:after="0" w:line="240" w:lineRule="auto"/>
        <w:jc w:val="both"/>
        <w:rPr>
          <w:sz w:val="20"/>
          <w:szCs w:val="20"/>
        </w:rPr>
      </w:pPr>
    </w:p>
    <w:p w14:paraId="0EDD5A92" w14:textId="35A3CFD6" w:rsidR="00CB7B4A" w:rsidRPr="00CB7B4A" w:rsidRDefault="00CB7B4A" w:rsidP="00CB7B4A">
      <w:pPr>
        <w:spacing w:after="0" w:line="240" w:lineRule="auto"/>
        <w:jc w:val="both"/>
        <w:rPr>
          <w:sz w:val="20"/>
          <w:szCs w:val="20"/>
        </w:rPr>
      </w:pPr>
      <w:r w:rsidRPr="00CB7B4A">
        <w:rPr>
          <w:sz w:val="20"/>
          <w:szCs w:val="20"/>
        </w:rPr>
        <w:t>*</w:t>
      </w:r>
      <w:r w:rsidRPr="00CB7B4A">
        <w:rPr>
          <w:b/>
          <w:bCs/>
          <w:sz w:val="20"/>
          <w:szCs w:val="20"/>
        </w:rPr>
        <w:t xml:space="preserve">Annuario statistico del Regno </w:t>
      </w:r>
      <w:proofErr w:type="gramStart"/>
      <w:r w:rsidRPr="00CB7B4A">
        <w:rPr>
          <w:b/>
          <w:bCs/>
          <w:sz w:val="20"/>
          <w:szCs w:val="20"/>
        </w:rPr>
        <w:t>d'Italia</w:t>
      </w:r>
      <w:r w:rsidRPr="00CB7B4A">
        <w:rPr>
          <w:sz w:val="20"/>
          <w:szCs w:val="20"/>
        </w:rPr>
        <w:t xml:space="preserve"> :</w:t>
      </w:r>
      <w:proofErr w:type="gramEnd"/>
      <w:r w:rsidRPr="00CB7B4A">
        <w:rPr>
          <w:sz w:val="20"/>
          <w:szCs w:val="20"/>
        </w:rPr>
        <w:t xml:space="preserve"> con particolari notizie sulle Provincie di Lombardia per l'anno ... compilato su dati ufficiali dal ragioniere Angelo Dell'Acqua. - Anno 5 (1863/</w:t>
      </w:r>
      <w:proofErr w:type="gramStart"/>
      <w:r w:rsidRPr="00CB7B4A">
        <w:rPr>
          <w:sz w:val="20"/>
          <w:szCs w:val="20"/>
        </w:rPr>
        <w:t>64)-</w:t>
      </w:r>
      <w:proofErr w:type="gramEnd"/>
      <w:r w:rsidRPr="00CB7B4A">
        <w:rPr>
          <w:sz w:val="20"/>
          <w:szCs w:val="20"/>
        </w:rPr>
        <w:t xml:space="preserve">anno 8 (1869). - </w:t>
      </w:r>
      <w:proofErr w:type="gramStart"/>
      <w:r w:rsidRPr="00CB7B4A">
        <w:rPr>
          <w:sz w:val="20"/>
          <w:szCs w:val="20"/>
        </w:rPr>
        <w:t>Milano :</w:t>
      </w:r>
      <w:proofErr w:type="gramEnd"/>
      <w:r w:rsidRPr="00CB7B4A">
        <w:rPr>
          <w:sz w:val="20"/>
          <w:szCs w:val="20"/>
        </w:rPr>
        <w:t xml:space="preserve"> a spese dell'A., 1864-1869</w:t>
      </w:r>
      <w:r w:rsidRPr="00CB7B4A">
        <w:rPr>
          <w:sz w:val="20"/>
          <w:szCs w:val="20"/>
        </w:rPr>
        <w:t xml:space="preserve"> (Dalla Regia Stamperia)</w:t>
      </w:r>
      <w:r w:rsidRPr="00CB7B4A">
        <w:rPr>
          <w:sz w:val="20"/>
          <w:szCs w:val="20"/>
        </w:rPr>
        <w:t xml:space="preserve">. – 4 </w:t>
      </w:r>
      <w:proofErr w:type="gramStart"/>
      <w:r w:rsidRPr="00CB7B4A">
        <w:rPr>
          <w:sz w:val="20"/>
          <w:szCs w:val="20"/>
        </w:rPr>
        <w:t>volumi ;</w:t>
      </w:r>
      <w:proofErr w:type="gramEnd"/>
      <w:r w:rsidRPr="00CB7B4A">
        <w:rPr>
          <w:sz w:val="20"/>
          <w:szCs w:val="20"/>
        </w:rPr>
        <w:t xml:space="preserve"> 22 cm. ((Dal 1865 perde il complemento del titolo. - NAP0250661</w:t>
      </w:r>
    </w:p>
    <w:p w14:paraId="4E1E8720" w14:textId="0A3143DD" w:rsidR="00CB7B4A" w:rsidRPr="00CB7B4A" w:rsidRDefault="00CB7B4A" w:rsidP="00CB7B4A">
      <w:pPr>
        <w:spacing w:after="0" w:line="240" w:lineRule="auto"/>
        <w:jc w:val="both"/>
        <w:rPr>
          <w:sz w:val="20"/>
          <w:szCs w:val="20"/>
        </w:rPr>
      </w:pPr>
      <w:r w:rsidRPr="00CB7B4A">
        <w:rPr>
          <w:sz w:val="20"/>
          <w:szCs w:val="20"/>
        </w:rPr>
        <w:t>Autore: Dell’Acqua, Angelo</w:t>
      </w:r>
    </w:p>
    <w:p w14:paraId="5CE83B93" w14:textId="78DE9F9D" w:rsidR="00CB7B4A" w:rsidRPr="00CB7B4A" w:rsidRDefault="00CB7B4A" w:rsidP="00CB7B4A">
      <w:pPr>
        <w:spacing w:after="0" w:line="240" w:lineRule="auto"/>
        <w:jc w:val="both"/>
        <w:rPr>
          <w:sz w:val="20"/>
          <w:szCs w:val="20"/>
        </w:rPr>
      </w:pPr>
      <w:r w:rsidRPr="00CB7B4A">
        <w:rPr>
          <w:sz w:val="20"/>
          <w:szCs w:val="20"/>
        </w:rPr>
        <w:t xml:space="preserve">Soggetto: Italia – Statistica </w:t>
      </w:r>
      <w:r w:rsidRPr="00CB7B4A">
        <w:rPr>
          <w:sz w:val="20"/>
          <w:szCs w:val="20"/>
        </w:rPr>
        <w:t>–</w:t>
      </w:r>
      <w:r w:rsidRPr="00CB7B4A">
        <w:rPr>
          <w:sz w:val="20"/>
          <w:szCs w:val="20"/>
        </w:rPr>
        <w:t xml:space="preserve"> </w:t>
      </w:r>
      <w:r w:rsidRPr="00CB7B4A">
        <w:rPr>
          <w:sz w:val="20"/>
          <w:szCs w:val="20"/>
        </w:rPr>
        <w:t>1863-1869</w:t>
      </w:r>
    </w:p>
    <w:p w14:paraId="77B0D8D1" w14:textId="77777777" w:rsidR="00CB7B4A" w:rsidRDefault="00CB7B4A" w:rsidP="00FE627B">
      <w:pPr>
        <w:spacing w:after="0" w:line="240" w:lineRule="auto"/>
        <w:jc w:val="both"/>
      </w:pPr>
    </w:p>
    <w:p w14:paraId="1DAF0B4E" w14:textId="2CED70C1" w:rsidR="00FE627B" w:rsidRDefault="00FE627B" w:rsidP="00FE627B">
      <w:pPr>
        <w:spacing w:after="0" w:line="240" w:lineRule="auto"/>
        <w:jc w:val="both"/>
        <w:rPr>
          <w:b/>
          <w:bCs/>
          <w:color w:val="C00000"/>
          <w:sz w:val="44"/>
          <w:szCs w:val="44"/>
        </w:rPr>
      </w:pPr>
      <w:r w:rsidRPr="00FE627B">
        <w:rPr>
          <w:b/>
          <w:bCs/>
          <w:color w:val="C00000"/>
          <w:sz w:val="44"/>
          <w:szCs w:val="44"/>
        </w:rPr>
        <w:t>Informazioni storico-bibliografiche</w:t>
      </w:r>
    </w:p>
    <w:p w14:paraId="1DD95D30" w14:textId="77777777" w:rsidR="00FE627B" w:rsidRPr="00CB7B4A" w:rsidRDefault="00FE627B" w:rsidP="00FE627B">
      <w:pPr>
        <w:spacing w:after="0" w:line="240" w:lineRule="auto"/>
        <w:jc w:val="both"/>
        <w:rPr>
          <w:b/>
          <w:bCs/>
          <w:sz w:val="20"/>
          <w:szCs w:val="20"/>
        </w:rPr>
      </w:pPr>
      <w:r w:rsidRPr="00CB7B4A">
        <w:rPr>
          <w:b/>
          <w:bCs/>
          <w:sz w:val="20"/>
          <w:szCs w:val="20"/>
        </w:rPr>
        <w:t>662. Seguito alla guida statistica 1848 della provincia di Milano per l'anno 1849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7"/>
        <w:gridCol w:w="8397"/>
      </w:tblGrid>
      <w:tr w:rsidR="00FE627B" w:rsidRPr="00CB7B4A" w14:paraId="180023B4" w14:textId="77777777" w:rsidTr="00FE627B">
        <w:trPr>
          <w:tblCellSpacing w:w="15" w:type="dxa"/>
        </w:trPr>
        <w:tc>
          <w:tcPr>
            <w:tcW w:w="0" w:type="auto"/>
            <w:vAlign w:val="center"/>
            <w:hideMark/>
          </w:tcPr>
          <w:p w14:paraId="36D8BB8D" w14:textId="77777777" w:rsidR="00FE627B" w:rsidRPr="00CB7B4A" w:rsidRDefault="00FE627B" w:rsidP="00FE627B">
            <w:pPr>
              <w:spacing w:after="0" w:line="240" w:lineRule="auto"/>
              <w:jc w:val="both"/>
              <w:rPr>
                <w:b/>
                <w:bCs/>
                <w:sz w:val="20"/>
                <w:szCs w:val="20"/>
              </w:rPr>
            </w:pPr>
            <w:r w:rsidRPr="00CB7B4A">
              <w:rPr>
                <w:b/>
                <w:bCs/>
                <w:sz w:val="20"/>
                <w:szCs w:val="20"/>
              </w:rPr>
              <w:t>Luogo</w:t>
            </w:r>
          </w:p>
        </w:tc>
        <w:tc>
          <w:tcPr>
            <w:tcW w:w="0" w:type="auto"/>
            <w:vAlign w:val="center"/>
            <w:hideMark/>
          </w:tcPr>
          <w:p w14:paraId="339FE425" w14:textId="77777777" w:rsidR="00FE627B" w:rsidRPr="00CB7B4A" w:rsidRDefault="00FE627B" w:rsidP="00FE627B">
            <w:pPr>
              <w:spacing w:after="0" w:line="240" w:lineRule="auto"/>
              <w:jc w:val="both"/>
              <w:rPr>
                <w:sz w:val="20"/>
                <w:szCs w:val="20"/>
              </w:rPr>
            </w:pPr>
            <w:r w:rsidRPr="00CB7B4A">
              <w:rPr>
                <w:sz w:val="20"/>
                <w:szCs w:val="20"/>
              </w:rPr>
              <w:t>Milano.</w:t>
            </w:r>
          </w:p>
        </w:tc>
      </w:tr>
      <w:tr w:rsidR="00FE627B" w:rsidRPr="00CB7B4A" w14:paraId="5B6C5F9C" w14:textId="77777777" w:rsidTr="00FE627B">
        <w:trPr>
          <w:tblCellSpacing w:w="15" w:type="dxa"/>
        </w:trPr>
        <w:tc>
          <w:tcPr>
            <w:tcW w:w="0" w:type="auto"/>
            <w:vAlign w:val="center"/>
            <w:hideMark/>
          </w:tcPr>
          <w:p w14:paraId="58667613" w14:textId="77777777" w:rsidR="00FE627B" w:rsidRPr="00CB7B4A" w:rsidRDefault="00FE627B" w:rsidP="00FE627B">
            <w:pPr>
              <w:spacing w:after="0" w:line="240" w:lineRule="auto"/>
              <w:jc w:val="both"/>
              <w:rPr>
                <w:b/>
                <w:bCs/>
                <w:sz w:val="20"/>
                <w:szCs w:val="20"/>
              </w:rPr>
            </w:pPr>
            <w:r w:rsidRPr="00CB7B4A">
              <w:rPr>
                <w:b/>
                <w:bCs/>
                <w:sz w:val="20"/>
                <w:szCs w:val="20"/>
              </w:rPr>
              <w:t>Durata</w:t>
            </w:r>
          </w:p>
        </w:tc>
        <w:tc>
          <w:tcPr>
            <w:tcW w:w="0" w:type="auto"/>
            <w:vAlign w:val="center"/>
            <w:hideMark/>
          </w:tcPr>
          <w:p w14:paraId="6DCC8DE4" w14:textId="77777777" w:rsidR="00FE627B" w:rsidRPr="00CB7B4A" w:rsidRDefault="00FE627B" w:rsidP="00FE627B">
            <w:pPr>
              <w:spacing w:after="0" w:line="240" w:lineRule="auto"/>
              <w:jc w:val="both"/>
              <w:rPr>
                <w:sz w:val="20"/>
                <w:szCs w:val="20"/>
              </w:rPr>
            </w:pPr>
            <w:r w:rsidRPr="00CB7B4A">
              <w:rPr>
                <w:sz w:val="20"/>
                <w:szCs w:val="20"/>
              </w:rPr>
              <w:t>1849* (s.a., s.n.). È una versione aggiornata della «Guida statistica della provincia di Milano» per il 1849.</w:t>
            </w:r>
          </w:p>
        </w:tc>
      </w:tr>
      <w:tr w:rsidR="00FE627B" w:rsidRPr="00CB7B4A" w14:paraId="5D72F3CB" w14:textId="77777777" w:rsidTr="00FE627B">
        <w:trPr>
          <w:tblCellSpacing w:w="15" w:type="dxa"/>
        </w:trPr>
        <w:tc>
          <w:tcPr>
            <w:tcW w:w="0" w:type="auto"/>
            <w:vAlign w:val="center"/>
            <w:hideMark/>
          </w:tcPr>
          <w:p w14:paraId="679CC035" w14:textId="77777777" w:rsidR="00FE627B" w:rsidRPr="00CB7B4A" w:rsidRDefault="00FE627B" w:rsidP="00FE627B">
            <w:pPr>
              <w:spacing w:after="0" w:line="240" w:lineRule="auto"/>
              <w:jc w:val="both"/>
              <w:rPr>
                <w:b/>
                <w:bCs/>
                <w:sz w:val="20"/>
                <w:szCs w:val="20"/>
              </w:rPr>
            </w:pPr>
            <w:r w:rsidRPr="00CB7B4A">
              <w:rPr>
                <w:b/>
                <w:bCs/>
                <w:sz w:val="20"/>
                <w:szCs w:val="20"/>
              </w:rPr>
              <w:t>Periodicità</w:t>
            </w:r>
          </w:p>
        </w:tc>
        <w:tc>
          <w:tcPr>
            <w:tcW w:w="0" w:type="auto"/>
            <w:vAlign w:val="center"/>
            <w:hideMark/>
          </w:tcPr>
          <w:p w14:paraId="0386979C" w14:textId="77777777" w:rsidR="00FE627B" w:rsidRPr="00CB7B4A" w:rsidRDefault="00FE627B" w:rsidP="00FE627B">
            <w:pPr>
              <w:spacing w:after="0" w:line="240" w:lineRule="auto"/>
              <w:jc w:val="both"/>
              <w:rPr>
                <w:sz w:val="20"/>
                <w:szCs w:val="20"/>
              </w:rPr>
            </w:pPr>
            <w:r w:rsidRPr="00CB7B4A">
              <w:rPr>
                <w:sz w:val="20"/>
                <w:szCs w:val="20"/>
              </w:rPr>
              <w:t>Annuale.</w:t>
            </w:r>
          </w:p>
        </w:tc>
      </w:tr>
      <w:tr w:rsidR="00FE627B" w:rsidRPr="00CB7B4A" w14:paraId="250F03EA" w14:textId="77777777" w:rsidTr="00FE627B">
        <w:trPr>
          <w:tblCellSpacing w:w="15" w:type="dxa"/>
        </w:trPr>
        <w:tc>
          <w:tcPr>
            <w:tcW w:w="0" w:type="auto"/>
            <w:vAlign w:val="center"/>
            <w:hideMark/>
          </w:tcPr>
          <w:p w14:paraId="1DFF8E76" w14:textId="77777777" w:rsidR="00FE627B" w:rsidRPr="00CB7B4A" w:rsidRDefault="00FE627B" w:rsidP="00FE627B">
            <w:pPr>
              <w:spacing w:after="0" w:line="240" w:lineRule="auto"/>
              <w:jc w:val="both"/>
              <w:rPr>
                <w:b/>
                <w:bCs/>
                <w:sz w:val="20"/>
                <w:szCs w:val="20"/>
              </w:rPr>
            </w:pPr>
            <w:r w:rsidRPr="00CB7B4A">
              <w:rPr>
                <w:b/>
                <w:bCs/>
                <w:sz w:val="20"/>
                <w:szCs w:val="20"/>
              </w:rPr>
              <w:t>Direttore</w:t>
            </w:r>
          </w:p>
        </w:tc>
        <w:tc>
          <w:tcPr>
            <w:tcW w:w="0" w:type="auto"/>
            <w:vAlign w:val="center"/>
            <w:hideMark/>
          </w:tcPr>
          <w:p w14:paraId="700904EE" w14:textId="77777777" w:rsidR="00FE627B" w:rsidRPr="00CB7B4A" w:rsidRDefault="00FE627B" w:rsidP="00FE627B">
            <w:pPr>
              <w:spacing w:after="0" w:line="240" w:lineRule="auto"/>
              <w:jc w:val="both"/>
              <w:rPr>
                <w:sz w:val="20"/>
                <w:szCs w:val="20"/>
              </w:rPr>
            </w:pPr>
            <w:r w:rsidRPr="00CB7B4A">
              <w:rPr>
                <w:sz w:val="20"/>
                <w:szCs w:val="20"/>
              </w:rPr>
              <w:t>[B. Tradati].</w:t>
            </w:r>
          </w:p>
        </w:tc>
      </w:tr>
      <w:tr w:rsidR="00FE627B" w:rsidRPr="00CB7B4A" w14:paraId="60ACA050" w14:textId="77777777" w:rsidTr="00FE627B">
        <w:trPr>
          <w:tblCellSpacing w:w="15" w:type="dxa"/>
        </w:trPr>
        <w:tc>
          <w:tcPr>
            <w:tcW w:w="0" w:type="auto"/>
            <w:vAlign w:val="center"/>
            <w:hideMark/>
          </w:tcPr>
          <w:p w14:paraId="4C15FFC0" w14:textId="77777777" w:rsidR="00FE627B" w:rsidRPr="00CB7B4A" w:rsidRDefault="00FE627B" w:rsidP="00FE627B">
            <w:pPr>
              <w:spacing w:after="0" w:line="240" w:lineRule="auto"/>
              <w:jc w:val="both"/>
              <w:rPr>
                <w:b/>
                <w:bCs/>
                <w:sz w:val="20"/>
                <w:szCs w:val="20"/>
              </w:rPr>
            </w:pPr>
            <w:r w:rsidRPr="00CB7B4A">
              <w:rPr>
                <w:b/>
                <w:bCs/>
                <w:sz w:val="20"/>
                <w:szCs w:val="20"/>
              </w:rPr>
              <w:t>Editore</w:t>
            </w:r>
          </w:p>
        </w:tc>
        <w:tc>
          <w:tcPr>
            <w:tcW w:w="0" w:type="auto"/>
            <w:vAlign w:val="center"/>
            <w:hideMark/>
          </w:tcPr>
          <w:p w14:paraId="03013721" w14:textId="77777777" w:rsidR="00FE627B" w:rsidRPr="00CB7B4A" w:rsidRDefault="00FE627B" w:rsidP="00FE627B">
            <w:pPr>
              <w:spacing w:after="0" w:line="240" w:lineRule="auto"/>
              <w:jc w:val="both"/>
              <w:rPr>
                <w:sz w:val="20"/>
                <w:szCs w:val="20"/>
              </w:rPr>
            </w:pPr>
            <w:r w:rsidRPr="00CB7B4A">
              <w:rPr>
                <w:sz w:val="20"/>
                <w:szCs w:val="20"/>
              </w:rPr>
              <w:t>Pirola.</w:t>
            </w:r>
          </w:p>
        </w:tc>
      </w:tr>
      <w:tr w:rsidR="00FE627B" w:rsidRPr="00CB7B4A" w14:paraId="69D82DD0" w14:textId="77777777" w:rsidTr="00FE627B">
        <w:trPr>
          <w:tblCellSpacing w:w="15" w:type="dxa"/>
        </w:trPr>
        <w:tc>
          <w:tcPr>
            <w:tcW w:w="0" w:type="auto"/>
            <w:vAlign w:val="center"/>
            <w:hideMark/>
          </w:tcPr>
          <w:p w14:paraId="598F0729" w14:textId="77777777" w:rsidR="00FE627B" w:rsidRPr="00CB7B4A" w:rsidRDefault="00FE627B" w:rsidP="00FE627B">
            <w:pPr>
              <w:spacing w:after="0" w:line="240" w:lineRule="auto"/>
              <w:jc w:val="both"/>
              <w:rPr>
                <w:b/>
                <w:bCs/>
                <w:sz w:val="20"/>
                <w:szCs w:val="20"/>
              </w:rPr>
            </w:pPr>
            <w:r w:rsidRPr="00CB7B4A">
              <w:rPr>
                <w:b/>
                <w:bCs/>
                <w:sz w:val="20"/>
                <w:szCs w:val="20"/>
              </w:rPr>
              <w:t>Stampatore</w:t>
            </w:r>
          </w:p>
        </w:tc>
        <w:tc>
          <w:tcPr>
            <w:tcW w:w="0" w:type="auto"/>
            <w:vAlign w:val="center"/>
            <w:hideMark/>
          </w:tcPr>
          <w:p w14:paraId="5F12A887" w14:textId="77777777" w:rsidR="00FE627B" w:rsidRPr="00CB7B4A" w:rsidRDefault="00FE627B" w:rsidP="00FE627B">
            <w:pPr>
              <w:spacing w:after="0" w:line="240" w:lineRule="auto"/>
              <w:jc w:val="both"/>
              <w:rPr>
                <w:sz w:val="20"/>
                <w:szCs w:val="20"/>
              </w:rPr>
            </w:pPr>
            <w:r w:rsidRPr="00CB7B4A">
              <w:rPr>
                <w:sz w:val="20"/>
                <w:szCs w:val="20"/>
              </w:rPr>
              <w:t>Milano, presso l'editore.</w:t>
            </w:r>
          </w:p>
        </w:tc>
      </w:tr>
      <w:tr w:rsidR="00FE627B" w:rsidRPr="00CB7B4A" w14:paraId="0D9B29D8" w14:textId="77777777" w:rsidTr="00FE627B">
        <w:trPr>
          <w:tblCellSpacing w:w="15" w:type="dxa"/>
        </w:trPr>
        <w:tc>
          <w:tcPr>
            <w:tcW w:w="0" w:type="auto"/>
            <w:vAlign w:val="center"/>
            <w:hideMark/>
          </w:tcPr>
          <w:p w14:paraId="25627E8C" w14:textId="77777777" w:rsidR="00FE627B" w:rsidRPr="00CB7B4A" w:rsidRDefault="00FE627B" w:rsidP="00FE627B">
            <w:pPr>
              <w:spacing w:after="0" w:line="240" w:lineRule="auto"/>
              <w:jc w:val="both"/>
              <w:rPr>
                <w:b/>
                <w:bCs/>
                <w:sz w:val="20"/>
                <w:szCs w:val="20"/>
              </w:rPr>
            </w:pPr>
            <w:r w:rsidRPr="00CB7B4A">
              <w:rPr>
                <w:b/>
                <w:bCs/>
                <w:sz w:val="20"/>
                <w:szCs w:val="20"/>
              </w:rPr>
              <w:t>Pagine</w:t>
            </w:r>
          </w:p>
        </w:tc>
        <w:tc>
          <w:tcPr>
            <w:tcW w:w="0" w:type="auto"/>
            <w:vAlign w:val="center"/>
            <w:hideMark/>
          </w:tcPr>
          <w:p w14:paraId="4E9D8F9C" w14:textId="77777777" w:rsidR="00FE627B" w:rsidRPr="00CB7B4A" w:rsidRDefault="00FE627B" w:rsidP="00FE627B">
            <w:pPr>
              <w:spacing w:after="0" w:line="240" w:lineRule="auto"/>
              <w:jc w:val="both"/>
              <w:rPr>
                <w:sz w:val="20"/>
                <w:szCs w:val="20"/>
              </w:rPr>
            </w:pPr>
            <w:r w:rsidRPr="00CB7B4A">
              <w:rPr>
                <w:sz w:val="20"/>
                <w:szCs w:val="20"/>
              </w:rPr>
              <w:t>126.</w:t>
            </w:r>
          </w:p>
        </w:tc>
      </w:tr>
      <w:tr w:rsidR="00FE627B" w:rsidRPr="00CB7B4A" w14:paraId="5B211D39" w14:textId="77777777" w:rsidTr="00FE627B">
        <w:trPr>
          <w:tblCellSpacing w:w="15" w:type="dxa"/>
        </w:trPr>
        <w:tc>
          <w:tcPr>
            <w:tcW w:w="0" w:type="auto"/>
            <w:vAlign w:val="center"/>
            <w:hideMark/>
          </w:tcPr>
          <w:p w14:paraId="14A0F29A" w14:textId="77777777" w:rsidR="00FE627B" w:rsidRPr="00CB7B4A" w:rsidRDefault="00FE627B" w:rsidP="00FE627B">
            <w:pPr>
              <w:spacing w:after="0" w:line="240" w:lineRule="auto"/>
              <w:jc w:val="both"/>
              <w:rPr>
                <w:b/>
                <w:bCs/>
                <w:sz w:val="20"/>
                <w:szCs w:val="20"/>
              </w:rPr>
            </w:pPr>
            <w:r w:rsidRPr="00CB7B4A">
              <w:rPr>
                <w:b/>
                <w:bCs/>
                <w:sz w:val="20"/>
                <w:szCs w:val="20"/>
              </w:rPr>
              <w:t>Formato</w:t>
            </w:r>
          </w:p>
        </w:tc>
        <w:tc>
          <w:tcPr>
            <w:tcW w:w="0" w:type="auto"/>
            <w:vAlign w:val="center"/>
            <w:hideMark/>
          </w:tcPr>
          <w:p w14:paraId="7D87BB15" w14:textId="77777777" w:rsidR="00FE627B" w:rsidRPr="00CB7B4A" w:rsidRDefault="00FE627B" w:rsidP="00FE627B">
            <w:pPr>
              <w:spacing w:after="0" w:line="240" w:lineRule="auto"/>
              <w:jc w:val="both"/>
              <w:rPr>
                <w:sz w:val="20"/>
                <w:szCs w:val="20"/>
              </w:rPr>
            </w:pPr>
            <w:r w:rsidRPr="00CB7B4A">
              <w:rPr>
                <w:sz w:val="20"/>
                <w:szCs w:val="20"/>
              </w:rPr>
              <w:t>19x13 cm.</w:t>
            </w:r>
          </w:p>
        </w:tc>
      </w:tr>
      <w:tr w:rsidR="00FE627B" w:rsidRPr="00CB7B4A" w14:paraId="7D518C5B" w14:textId="77777777" w:rsidTr="00FE627B">
        <w:trPr>
          <w:tblCellSpacing w:w="15" w:type="dxa"/>
        </w:trPr>
        <w:tc>
          <w:tcPr>
            <w:tcW w:w="0" w:type="auto"/>
            <w:vAlign w:val="center"/>
            <w:hideMark/>
          </w:tcPr>
          <w:p w14:paraId="206AF2A5" w14:textId="77777777" w:rsidR="00FE627B" w:rsidRPr="00CB7B4A" w:rsidRDefault="00FE627B" w:rsidP="00FE627B">
            <w:pPr>
              <w:spacing w:after="0" w:line="240" w:lineRule="auto"/>
              <w:jc w:val="both"/>
              <w:rPr>
                <w:b/>
                <w:bCs/>
                <w:sz w:val="20"/>
                <w:szCs w:val="20"/>
              </w:rPr>
            </w:pPr>
            <w:r w:rsidRPr="00CB7B4A">
              <w:rPr>
                <w:b/>
                <w:bCs/>
                <w:sz w:val="20"/>
                <w:szCs w:val="20"/>
              </w:rPr>
              <w:t>Note</w:t>
            </w:r>
          </w:p>
        </w:tc>
        <w:tc>
          <w:tcPr>
            <w:tcW w:w="0" w:type="auto"/>
            <w:vAlign w:val="center"/>
            <w:hideMark/>
          </w:tcPr>
          <w:p w14:paraId="41EB5CBD" w14:textId="77777777" w:rsidR="00FE627B" w:rsidRPr="00CB7B4A" w:rsidRDefault="00FE627B" w:rsidP="00FE627B">
            <w:pPr>
              <w:spacing w:after="0" w:line="240" w:lineRule="auto"/>
              <w:jc w:val="both"/>
              <w:rPr>
                <w:sz w:val="20"/>
                <w:szCs w:val="20"/>
              </w:rPr>
            </w:pPr>
            <w:r w:rsidRPr="00CB7B4A">
              <w:rPr>
                <w:i/>
                <w:iCs/>
                <w:sz w:val="20"/>
                <w:szCs w:val="20"/>
              </w:rPr>
              <w:t>Contiene molte tabelle.</w:t>
            </w:r>
          </w:p>
        </w:tc>
      </w:tr>
    </w:tbl>
    <w:p w14:paraId="24338C68" w14:textId="3E313276" w:rsidR="00FE627B" w:rsidRPr="00CB7B4A" w:rsidRDefault="00FE627B" w:rsidP="00FE627B">
      <w:pPr>
        <w:spacing w:after="0" w:line="240" w:lineRule="auto"/>
        <w:jc w:val="both"/>
        <w:rPr>
          <w:sz w:val="20"/>
          <w:szCs w:val="20"/>
        </w:rPr>
      </w:pPr>
      <w:r w:rsidRPr="00CB7B4A">
        <w:rPr>
          <w:sz w:val="20"/>
          <w:szCs w:val="20"/>
        </w:rPr>
        <w:t>In una nota al lettore, firmata dal ragioniere B. Tradati, si spiega che "a non interrompere [</w:t>
      </w:r>
      <w:r w:rsidRPr="00CB7B4A">
        <w:rPr>
          <w:rFonts w:ascii="Calibri" w:hAnsi="Calibri" w:cs="Calibri"/>
          <w:sz w:val="20"/>
          <w:szCs w:val="20"/>
        </w:rPr>
        <w:t></w:t>
      </w:r>
      <w:r w:rsidRPr="00CB7B4A">
        <w:rPr>
          <w:sz w:val="20"/>
          <w:szCs w:val="20"/>
        </w:rPr>
        <w:t xml:space="preserve">] la serie di questo lavoro, il compilatore si limita ad annunciare col seguito della </w:t>
      </w:r>
      <w:r w:rsidRPr="00CB7B4A">
        <w:rPr>
          <w:rFonts w:ascii="Calibri" w:hAnsi="Calibri" w:cs="Calibri"/>
          <w:sz w:val="20"/>
          <w:szCs w:val="20"/>
        </w:rPr>
        <w:t>«</w:t>
      </w:r>
      <w:r w:rsidRPr="00CB7B4A">
        <w:rPr>
          <w:sz w:val="20"/>
          <w:szCs w:val="20"/>
        </w:rPr>
        <w:t>Guida statistica 1848</w:t>
      </w:r>
      <w:r w:rsidRPr="00CB7B4A">
        <w:rPr>
          <w:rFonts w:ascii="Calibri" w:hAnsi="Calibri" w:cs="Calibri"/>
          <w:sz w:val="20"/>
          <w:szCs w:val="20"/>
        </w:rPr>
        <w:t>»</w:t>
      </w:r>
      <w:r w:rsidRPr="00CB7B4A">
        <w:rPr>
          <w:sz w:val="20"/>
          <w:szCs w:val="20"/>
        </w:rPr>
        <w:t xml:space="preserve"> alcune variazioni occorse nel personale e nei dati statistici" non potendo offrire "una compilazione quale sarebbe stata desiderata" per "la provvisoriet</w:t>
      </w:r>
      <w:r w:rsidRPr="00CB7B4A">
        <w:rPr>
          <w:rFonts w:ascii="Calibri" w:hAnsi="Calibri" w:cs="Calibri"/>
          <w:sz w:val="20"/>
          <w:szCs w:val="20"/>
        </w:rPr>
        <w:t>à</w:t>
      </w:r>
      <w:r w:rsidRPr="00CB7B4A">
        <w:rPr>
          <w:sz w:val="20"/>
          <w:szCs w:val="20"/>
        </w:rPr>
        <w:t xml:space="preserve"> dei gerenti dell'amministrazione politica provinciale, le lacune verificatesi fra il personale di </w:t>
      </w:r>
      <w:proofErr w:type="spellStart"/>
      <w:r w:rsidRPr="00CB7B4A">
        <w:rPr>
          <w:sz w:val="20"/>
          <w:szCs w:val="20"/>
        </w:rPr>
        <w:t>varj</w:t>
      </w:r>
      <w:proofErr w:type="spellEnd"/>
      <w:r w:rsidRPr="00CB7B4A">
        <w:rPr>
          <w:sz w:val="20"/>
          <w:szCs w:val="20"/>
        </w:rPr>
        <w:t xml:space="preserve"> uffici, e l'aspettazione di un nuovo ordinamento di cose".</w:t>
      </w:r>
      <w:r w:rsidR="00CB7B4A" w:rsidRPr="00CB7B4A">
        <w:rPr>
          <w:sz w:val="20"/>
          <w:szCs w:val="20"/>
        </w:rPr>
        <w:t xml:space="preserve"> </w:t>
      </w:r>
      <w:r w:rsidRPr="00CB7B4A">
        <w:rPr>
          <w:sz w:val="20"/>
          <w:szCs w:val="20"/>
        </w:rPr>
        <w:t xml:space="preserve">Fra i tanti dati contiene tabelle demografiche su Milano e tutti i suoi distretti, l'elenco di tutte le sovrimposte comunali e regie pagate singolarmente nell'ultimo decennio dai comuni della provincia, la pianta di tutti gli uffici amministrativi della provincia, dell'amministrazione camerale, di magazzini e dispense (centrale e distrettuali) dei generi di privativa e ancora l'elenco dei professionisti (avvocati, notai, ingegneri-architetti, agrimensori e ragionieri), delle fiere e dei mercati principali del milanese. A. Ac. Raccolte: MI120: 1849. Link risorsa: </w:t>
      </w:r>
      <w:hyperlink r:id="rId14" w:history="1">
        <w:r w:rsidRPr="00CB7B4A">
          <w:rPr>
            <w:rStyle w:val="Collegamentoipertestuale"/>
            <w:sz w:val="20"/>
            <w:szCs w:val="20"/>
          </w:rPr>
          <w:t>https://www.lombardiabeniculturali.it/pereco/schede/662/</w:t>
        </w:r>
      </w:hyperlink>
    </w:p>
    <w:p w14:paraId="70B1EA2B" w14:textId="77777777" w:rsidR="00CB7B4A" w:rsidRPr="00CB7B4A" w:rsidRDefault="00CB7B4A" w:rsidP="00FE627B">
      <w:pPr>
        <w:spacing w:after="0" w:line="240" w:lineRule="auto"/>
        <w:jc w:val="both"/>
        <w:rPr>
          <w:sz w:val="20"/>
          <w:szCs w:val="20"/>
        </w:rPr>
      </w:pPr>
    </w:p>
    <w:p w14:paraId="6CFF31EB" w14:textId="77777777" w:rsidR="00CB7B4A" w:rsidRPr="00CB7B4A" w:rsidRDefault="00CB7B4A" w:rsidP="00CB7B4A">
      <w:pPr>
        <w:spacing w:after="0" w:line="240" w:lineRule="auto"/>
        <w:jc w:val="both"/>
        <w:rPr>
          <w:b/>
          <w:bCs/>
          <w:sz w:val="20"/>
          <w:szCs w:val="20"/>
        </w:rPr>
      </w:pPr>
      <w:r w:rsidRPr="00CB7B4A">
        <w:rPr>
          <w:b/>
          <w:bCs/>
          <w:sz w:val="20"/>
          <w:szCs w:val="20"/>
        </w:rPr>
        <w:t>Annuario statistico della provincia di Milano per l'anno...</w:t>
      </w:r>
    </w:p>
    <w:p w14:paraId="3B0E787B" w14:textId="546E1427" w:rsidR="00CB7B4A" w:rsidRPr="00CB7B4A" w:rsidRDefault="00CB7B4A" w:rsidP="00FE627B">
      <w:pPr>
        <w:spacing w:after="0" w:line="240" w:lineRule="auto"/>
        <w:jc w:val="both"/>
        <w:rPr>
          <w:sz w:val="20"/>
          <w:szCs w:val="20"/>
        </w:rPr>
      </w:pPr>
      <w:r w:rsidRPr="00CB7B4A">
        <w:rPr>
          <w:sz w:val="20"/>
          <w:szCs w:val="20"/>
        </w:rPr>
        <w:t>Dal 1861 (a. III) §Annuario statistico delle provincie di Lombardia per l'anno... Dal 1863-64 (a. V) §Annuario statistico del Regno d'Italia con particolari notizie sulle provincie di Lombardia per l'anno...§ Dal 1865 (a. VI) §Annuario statistico del Regno d'Italia per l'anno...§.</w:t>
      </w:r>
    </w:p>
    <w:p w14:paraId="34F454CD" w14:textId="35986CE9" w:rsidR="00CB7B4A" w:rsidRPr="00CB7B4A" w:rsidRDefault="00CB7B4A" w:rsidP="00CB7B4A">
      <w:pPr>
        <w:spacing w:after="0" w:line="240" w:lineRule="auto"/>
        <w:jc w:val="both"/>
        <w:rPr>
          <w:sz w:val="20"/>
          <w:szCs w:val="20"/>
        </w:rPr>
      </w:pPr>
      <w:r w:rsidRPr="00CB7B4A">
        <w:rPr>
          <w:sz w:val="20"/>
          <w:szCs w:val="20"/>
        </w:rPr>
        <w:t xml:space="preserve">La pubblicazione "oltre a rendere popolare la storia del nostro paese, fa conoscere l'origine e il progresso d'ogni pubblica e privata fondazione di beneficenza e di culto che lo risguarda; porge le più importanti cognizioni statistiche sull'industria e sul commercio; tocca delle colture del territorio milanese; informa delle più recenti patrie istituzioni [...] pubblica i nomi dei magistrati, e degli impiegati in ogni ramo dell'amministrazione; ed offre una rassegna dei pubblici e privati stabilimenti" (Angelo Dell'Acqua, </w:t>
      </w:r>
      <w:r w:rsidRPr="00CB7B4A">
        <w:rPr>
          <w:i/>
          <w:iCs/>
          <w:sz w:val="20"/>
          <w:szCs w:val="20"/>
        </w:rPr>
        <w:t>Prefazione</w:t>
      </w:r>
      <w:r w:rsidRPr="00CB7B4A">
        <w:rPr>
          <w:sz w:val="20"/>
          <w:szCs w:val="20"/>
        </w:rPr>
        <w:t>, 1859).</w:t>
      </w:r>
      <w:r w:rsidRPr="00CB7B4A">
        <w:rPr>
          <w:sz w:val="20"/>
          <w:szCs w:val="20"/>
        </w:rPr>
        <w:t xml:space="preserve"> </w:t>
      </w:r>
      <w:r w:rsidRPr="00CB7B4A">
        <w:rPr>
          <w:sz w:val="20"/>
          <w:szCs w:val="20"/>
        </w:rPr>
        <w:t xml:space="preserve">L'unica firma che vi compare è quella del compilatore, il ragioniere Angelo Dell'Acqua, già "applicato al regio Governo provinciale di Milano", quindi sottosegretario alla Prefettura e poi membro della commissione di statistica del comune. Col passare degli anni l'«Annuario» assume carattere di ufficialità e allarga sempre più la sfera d'interesse parallelamente al mutare del titolo. L'indice delle materie, anch'esso via via più ampio, comprende le rubriche "Contribuzioni dirette" (con dati sul debito pubblico, notizie sulle imposte e sul loro ammontare annuo), "Commercio" (con i prezzi delle materie prime e gli elenchi di avvocati, notai, difensori penali, commercianti e dei componenti di sindacati, associazioni professionali, società di mutuo soccorso e Camere di commercio), "Professioni liberali" (con gli elenchi di ingegneri-architetti, agrimensori, ragionieri), "Agricoltura, commercio e industria" (con una rapida esposizione della produzione nei diversi settori; elenchi di banche e compagnie di assicurazione; brevi schede sulla produzione di particolari fabbriche; i quadri dell'amministrazione dei boschi e delle miniere), "Oggetti </w:t>
      </w:r>
      <w:proofErr w:type="spellStart"/>
      <w:r w:rsidRPr="00CB7B4A">
        <w:rPr>
          <w:sz w:val="20"/>
          <w:szCs w:val="20"/>
        </w:rPr>
        <w:t>varj</w:t>
      </w:r>
      <w:proofErr w:type="spellEnd"/>
      <w:r w:rsidRPr="00CB7B4A">
        <w:rPr>
          <w:sz w:val="20"/>
          <w:szCs w:val="20"/>
        </w:rPr>
        <w:t>" (con, fra l'altro, tasse, tariffe, norme, fiere, mercati).</w:t>
      </w:r>
    </w:p>
    <w:p w14:paraId="7D49B456" w14:textId="790EDDF7" w:rsidR="00CB7B4A" w:rsidRPr="00CB7B4A" w:rsidRDefault="00CB7B4A" w:rsidP="00CB7B4A">
      <w:pPr>
        <w:spacing w:after="0" w:line="240" w:lineRule="auto"/>
        <w:jc w:val="both"/>
        <w:rPr>
          <w:sz w:val="20"/>
          <w:szCs w:val="20"/>
        </w:rPr>
      </w:pPr>
      <w:r w:rsidRPr="00CB7B4A">
        <w:rPr>
          <w:sz w:val="20"/>
          <w:szCs w:val="20"/>
        </w:rPr>
        <w:t>A. Ac.</w:t>
      </w:r>
      <w:r w:rsidRPr="00CB7B4A">
        <w:rPr>
          <w:sz w:val="20"/>
          <w:szCs w:val="20"/>
        </w:rPr>
        <w:t xml:space="preserve"> </w:t>
      </w:r>
      <w:r w:rsidRPr="00CB7B4A">
        <w:rPr>
          <w:sz w:val="20"/>
          <w:szCs w:val="20"/>
        </w:rPr>
        <w:t>Raccolte: MI120: 1859-1869.</w:t>
      </w:r>
      <w:r w:rsidRPr="00CB7B4A">
        <w:rPr>
          <w:sz w:val="20"/>
          <w:szCs w:val="20"/>
        </w:rPr>
        <w:t xml:space="preserve"> </w:t>
      </w:r>
      <w:r w:rsidRPr="00CB7B4A">
        <w:rPr>
          <w:sz w:val="20"/>
          <w:szCs w:val="20"/>
        </w:rPr>
        <w:t xml:space="preserve">Link risorsa: </w:t>
      </w:r>
      <w:hyperlink r:id="rId15" w:history="1">
        <w:r w:rsidRPr="00CB7B4A">
          <w:rPr>
            <w:rStyle w:val="Collegamentoipertestuale"/>
            <w:sz w:val="20"/>
            <w:szCs w:val="20"/>
          </w:rPr>
          <w:t>https://www.lombardiabeniculturali.it/pereco/schede/85/</w:t>
        </w:r>
      </w:hyperlink>
    </w:p>
    <w:p w14:paraId="6A04BBFD" w14:textId="77777777" w:rsidR="00CB7B4A" w:rsidRPr="00FE627B" w:rsidRDefault="00CB7B4A" w:rsidP="00FE627B">
      <w:pPr>
        <w:spacing w:after="0" w:line="240" w:lineRule="auto"/>
        <w:jc w:val="both"/>
        <w:rPr>
          <w:sz w:val="18"/>
          <w:szCs w:val="18"/>
        </w:rPr>
      </w:pPr>
    </w:p>
    <w:p w14:paraId="7B14F560" w14:textId="77777777" w:rsidR="00FE627B" w:rsidRPr="00FE627B" w:rsidRDefault="00FE627B" w:rsidP="00FE627B">
      <w:pPr>
        <w:spacing w:after="0" w:line="240" w:lineRule="auto"/>
        <w:jc w:val="both"/>
      </w:pPr>
    </w:p>
    <w:sectPr w:rsidR="00FE627B" w:rsidRPr="00FE627B"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33AF"/>
    <w:rsid w:val="00012D07"/>
    <w:rsid w:val="0031062F"/>
    <w:rsid w:val="003605E3"/>
    <w:rsid w:val="00375F4B"/>
    <w:rsid w:val="003811E4"/>
    <w:rsid w:val="00427158"/>
    <w:rsid w:val="00653982"/>
    <w:rsid w:val="009D04EE"/>
    <w:rsid w:val="00A533AF"/>
    <w:rsid w:val="00C71CAA"/>
    <w:rsid w:val="00CB7B4A"/>
    <w:rsid w:val="00D544E6"/>
    <w:rsid w:val="00D85771"/>
    <w:rsid w:val="00DC7447"/>
    <w:rsid w:val="00E217C7"/>
    <w:rsid w:val="00E84EF4"/>
    <w:rsid w:val="00FE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8855"/>
  <w15:chartTrackingRefBased/>
  <w15:docId w15:val="{2C548434-6989-4883-A2EE-344CD17E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5771"/>
  </w:style>
  <w:style w:type="paragraph" w:styleId="Titolo1">
    <w:name w:val="heading 1"/>
    <w:basedOn w:val="Normale"/>
    <w:next w:val="Normale"/>
    <w:link w:val="Titolo1Carattere"/>
    <w:uiPriority w:val="9"/>
    <w:qFormat/>
    <w:rsid w:val="00A533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unhideWhenUsed/>
    <w:qFormat/>
    <w:rsid w:val="00A533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A533AF"/>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A533AF"/>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A533AF"/>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A533A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33A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33A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33A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33AF"/>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rsid w:val="00A533AF"/>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A533AF"/>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A533AF"/>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A533AF"/>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A533A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33A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33A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33A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3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33A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33A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33A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33A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33AF"/>
    <w:rPr>
      <w:i/>
      <w:iCs/>
      <w:color w:val="404040" w:themeColor="text1" w:themeTint="BF"/>
    </w:rPr>
  </w:style>
  <w:style w:type="paragraph" w:styleId="Paragrafoelenco">
    <w:name w:val="List Paragraph"/>
    <w:basedOn w:val="Normale"/>
    <w:uiPriority w:val="34"/>
    <w:qFormat/>
    <w:rsid w:val="00A533AF"/>
    <w:pPr>
      <w:ind w:left="720"/>
      <w:contextualSpacing/>
    </w:pPr>
  </w:style>
  <w:style w:type="character" w:styleId="Enfasiintensa">
    <w:name w:val="Intense Emphasis"/>
    <w:basedOn w:val="Carpredefinitoparagrafo"/>
    <w:uiPriority w:val="21"/>
    <w:qFormat/>
    <w:rsid w:val="00A533AF"/>
    <w:rPr>
      <w:i/>
      <w:iCs/>
      <w:color w:val="365F91" w:themeColor="accent1" w:themeShade="BF"/>
    </w:rPr>
  </w:style>
  <w:style w:type="paragraph" w:styleId="Citazioneintensa">
    <w:name w:val="Intense Quote"/>
    <w:basedOn w:val="Normale"/>
    <w:next w:val="Normale"/>
    <w:link w:val="CitazioneintensaCarattere"/>
    <w:uiPriority w:val="30"/>
    <w:qFormat/>
    <w:rsid w:val="00A533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A533AF"/>
    <w:rPr>
      <w:i/>
      <w:iCs/>
      <w:color w:val="365F91" w:themeColor="accent1" w:themeShade="BF"/>
    </w:rPr>
  </w:style>
  <w:style w:type="character" w:styleId="Riferimentointenso">
    <w:name w:val="Intense Reference"/>
    <w:basedOn w:val="Carpredefinitoparagrafo"/>
    <w:uiPriority w:val="32"/>
    <w:qFormat/>
    <w:rsid w:val="00A533AF"/>
    <w:rPr>
      <w:b/>
      <w:bCs/>
      <w:smallCaps/>
      <w:color w:val="365F91" w:themeColor="accent1" w:themeShade="BF"/>
      <w:spacing w:val="5"/>
    </w:rPr>
  </w:style>
  <w:style w:type="character" w:styleId="Collegamentoipertestuale">
    <w:name w:val="Hyperlink"/>
    <w:basedOn w:val="Carpredefinitoparagrafo"/>
    <w:uiPriority w:val="99"/>
    <w:unhideWhenUsed/>
    <w:rsid w:val="009D04EE"/>
    <w:rPr>
      <w:color w:val="0000FF" w:themeColor="hyperlink"/>
      <w:u w:val="single"/>
    </w:rPr>
  </w:style>
  <w:style w:type="character" w:styleId="Menzionenonrisolta">
    <w:name w:val="Unresolved Mention"/>
    <w:basedOn w:val="Carpredefinitoparagrafo"/>
    <w:uiPriority w:val="99"/>
    <w:semiHidden/>
    <w:unhideWhenUsed/>
    <w:rsid w:val="009D0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1203">
      <w:bodyDiv w:val="1"/>
      <w:marLeft w:val="0"/>
      <w:marRight w:val="0"/>
      <w:marTop w:val="0"/>
      <w:marBottom w:val="0"/>
      <w:divBdr>
        <w:top w:val="none" w:sz="0" w:space="0" w:color="auto"/>
        <w:left w:val="none" w:sz="0" w:space="0" w:color="auto"/>
        <w:bottom w:val="none" w:sz="0" w:space="0" w:color="auto"/>
        <w:right w:val="none" w:sz="0" w:space="0" w:color="auto"/>
      </w:divBdr>
      <w:divsChild>
        <w:div w:id="521744067">
          <w:marLeft w:val="0"/>
          <w:marRight w:val="0"/>
          <w:marTop w:val="0"/>
          <w:marBottom w:val="0"/>
          <w:divBdr>
            <w:top w:val="none" w:sz="0" w:space="0" w:color="auto"/>
            <w:left w:val="none" w:sz="0" w:space="0" w:color="auto"/>
            <w:bottom w:val="none" w:sz="0" w:space="0" w:color="auto"/>
            <w:right w:val="none" w:sz="0" w:space="0" w:color="auto"/>
          </w:divBdr>
          <w:divsChild>
            <w:div w:id="1001785056">
              <w:marLeft w:val="0"/>
              <w:marRight w:val="0"/>
              <w:marTop w:val="0"/>
              <w:marBottom w:val="150"/>
              <w:divBdr>
                <w:top w:val="none" w:sz="0" w:space="0" w:color="auto"/>
                <w:left w:val="none" w:sz="0" w:space="0" w:color="auto"/>
                <w:bottom w:val="none" w:sz="0" w:space="0" w:color="auto"/>
                <w:right w:val="none" w:sz="0" w:space="0" w:color="auto"/>
              </w:divBdr>
              <w:divsChild>
                <w:div w:id="18259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31179">
      <w:bodyDiv w:val="1"/>
      <w:marLeft w:val="0"/>
      <w:marRight w:val="0"/>
      <w:marTop w:val="0"/>
      <w:marBottom w:val="0"/>
      <w:divBdr>
        <w:top w:val="none" w:sz="0" w:space="0" w:color="auto"/>
        <w:left w:val="none" w:sz="0" w:space="0" w:color="auto"/>
        <w:bottom w:val="none" w:sz="0" w:space="0" w:color="auto"/>
        <w:right w:val="none" w:sz="0" w:space="0" w:color="auto"/>
      </w:divBdr>
      <w:divsChild>
        <w:div w:id="1218518223">
          <w:marLeft w:val="0"/>
          <w:marRight w:val="0"/>
          <w:marTop w:val="0"/>
          <w:marBottom w:val="0"/>
          <w:divBdr>
            <w:top w:val="none" w:sz="0" w:space="0" w:color="auto"/>
            <w:left w:val="none" w:sz="0" w:space="0" w:color="auto"/>
            <w:bottom w:val="none" w:sz="0" w:space="0" w:color="auto"/>
            <w:right w:val="none" w:sz="0" w:space="0" w:color="auto"/>
          </w:divBdr>
        </w:div>
      </w:divsChild>
    </w:div>
    <w:div w:id="632949657">
      <w:bodyDiv w:val="1"/>
      <w:marLeft w:val="0"/>
      <w:marRight w:val="0"/>
      <w:marTop w:val="0"/>
      <w:marBottom w:val="0"/>
      <w:divBdr>
        <w:top w:val="none" w:sz="0" w:space="0" w:color="auto"/>
        <w:left w:val="none" w:sz="0" w:space="0" w:color="auto"/>
        <w:bottom w:val="none" w:sz="0" w:space="0" w:color="auto"/>
        <w:right w:val="none" w:sz="0" w:space="0" w:color="auto"/>
      </w:divBdr>
      <w:divsChild>
        <w:div w:id="2007050710">
          <w:marLeft w:val="0"/>
          <w:marRight w:val="0"/>
          <w:marTop w:val="0"/>
          <w:marBottom w:val="0"/>
          <w:divBdr>
            <w:top w:val="none" w:sz="0" w:space="0" w:color="auto"/>
            <w:left w:val="none" w:sz="0" w:space="0" w:color="auto"/>
            <w:bottom w:val="none" w:sz="0" w:space="0" w:color="auto"/>
            <w:right w:val="none" w:sz="0" w:space="0" w:color="auto"/>
          </w:divBdr>
        </w:div>
      </w:divsChild>
    </w:div>
    <w:div w:id="1529444013">
      <w:bodyDiv w:val="1"/>
      <w:marLeft w:val="0"/>
      <w:marRight w:val="0"/>
      <w:marTop w:val="0"/>
      <w:marBottom w:val="0"/>
      <w:divBdr>
        <w:top w:val="none" w:sz="0" w:space="0" w:color="auto"/>
        <w:left w:val="none" w:sz="0" w:space="0" w:color="auto"/>
        <w:bottom w:val="none" w:sz="0" w:space="0" w:color="auto"/>
        <w:right w:val="none" w:sz="0" w:space="0" w:color="auto"/>
      </w:divBdr>
      <w:divsChild>
        <w:div w:id="2097481467">
          <w:marLeft w:val="0"/>
          <w:marRight w:val="0"/>
          <w:marTop w:val="0"/>
          <w:marBottom w:val="0"/>
          <w:divBdr>
            <w:top w:val="none" w:sz="0" w:space="0" w:color="auto"/>
            <w:left w:val="none" w:sz="0" w:space="0" w:color="auto"/>
            <w:bottom w:val="none" w:sz="0" w:space="0" w:color="auto"/>
            <w:right w:val="none" w:sz="0" w:space="0" w:color="auto"/>
          </w:divBdr>
          <w:divsChild>
            <w:div w:id="1155605383">
              <w:marLeft w:val="0"/>
              <w:marRight w:val="0"/>
              <w:marTop w:val="0"/>
              <w:marBottom w:val="150"/>
              <w:divBdr>
                <w:top w:val="none" w:sz="0" w:space="0" w:color="auto"/>
                <w:left w:val="none" w:sz="0" w:space="0" w:color="auto"/>
                <w:bottom w:val="none" w:sz="0" w:space="0" w:color="auto"/>
                <w:right w:val="none" w:sz="0" w:space="0" w:color="auto"/>
              </w:divBdr>
              <w:divsChild>
                <w:div w:id="9624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bdl.servizirl.it/vufind/Record/BDL-OGGETTO-17823"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archive.org/details/guidastatisticad1851tra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bdl.servizirl.it/bdl/bookreader/index.html?path=fe&amp;cdOggetto=37546" TargetMode="External"/><Relationship Id="rId5" Type="http://schemas.openxmlformats.org/officeDocument/2006/relationships/image" Target="media/image2.png"/><Relationship Id="rId15" Type="http://schemas.openxmlformats.org/officeDocument/2006/relationships/hyperlink" Target="https://www.lombardiabeniculturali.it/pereco/schede/85/" TargetMode="External"/><Relationship Id="rId10" Type="http://schemas.openxmlformats.org/officeDocument/2006/relationships/hyperlink" Target="https://books.google.it/books?id=8076JCXIdI8C&amp;printsec=frontcover&amp;hl=it&amp;source=gbs_ge_summary_r&amp;cad=0" TargetMode="Externa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https://www.lombardiabeniculturali.it/pereco/schede/66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5</cp:revision>
  <dcterms:created xsi:type="dcterms:W3CDTF">2025-01-15T16:57:00Z</dcterms:created>
  <dcterms:modified xsi:type="dcterms:W3CDTF">2025-09-26T16:30:00Z</dcterms:modified>
</cp:coreProperties>
</file>