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882CB" w14:textId="24909510" w:rsidR="00E02BD2" w:rsidRPr="00B835C4" w:rsidRDefault="00E02BD2" w:rsidP="00E02BD2">
      <w:pPr>
        <w:spacing w:after="0" w:line="240" w:lineRule="auto"/>
        <w:jc w:val="both"/>
        <w:rPr>
          <w:rFonts w:cstheme="minorHAnsi"/>
          <w:bCs/>
          <w:i/>
          <w:iCs/>
          <w:sz w:val="16"/>
          <w:szCs w:val="16"/>
        </w:rPr>
      </w:pPr>
      <w:r>
        <w:rPr>
          <w:rFonts w:cstheme="minorHAnsi"/>
          <w:b/>
          <w:color w:val="C00000"/>
          <w:sz w:val="44"/>
          <w:szCs w:val="44"/>
        </w:rPr>
        <w:t>XU1665</w:t>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r>
      <w:r w:rsidRPr="00B835C4">
        <w:rPr>
          <w:rFonts w:cstheme="minorHAnsi"/>
          <w:bCs/>
          <w:i/>
          <w:iCs/>
          <w:sz w:val="16"/>
          <w:szCs w:val="16"/>
        </w:rPr>
        <w:tab/>
        <w:t xml:space="preserve">scheda creata il </w:t>
      </w:r>
      <w:r>
        <w:rPr>
          <w:rFonts w:cstheme="minorHAnsi"/>
          <w:bCs/>
          <w:i/>
          <w:iCs/>
          <w:sz w:val="16"/>
          <w:szCs w:val="16"/>
        </w:rPr>
        <w:t>1</w:t>
      </w:r>
      <w:r w:rsidRPr="00B835C4">
        <w:rPr>
          <w:rFonts w:cstheme="minorHAnsi"/>
          <w:bCs/>
          <w:i/>
          <w:iCs/>
          <w:sz w:val="16"/>
          <w:szCs w:val="16"/>
        </w:rPr>
        <w:t xml:space="preserve"> </w:t>
      </w:r>
      <w:r>
        <w:rPr>
          <w:rFonts w:cstheme="minorHAnsi"/>
          <w:bCs/>
          <w:i/>
          <w:iCs/>
          <w:sz w:val="16"/>
          <w:szCs w:val="16"/>
        </w:rPr>
        <w:t>febbraio</w:t>
      </w:r>
      <w:r w:rsidRPr="00B835C4">
        <w:rPr>
          <w:rFonts w:cstheme="minorHAnsi"/>
          <w:bCs/>
          <w:i/>
          <w:iCs/>
          <w:sz w:val="16"/>
          <w:szCs w:val="16"/>
        </w:rPr>
        <w:t xml:space="preserve"> 2026</w:t>
      </w:r>
    </w:p>
    <w:p w14:paraId="32E4C45B" w14:textId="3FDCD78D" w:rsidR="00E02BD2" w:rsidRDefault="00E02BD2" w:rsidP="00E02BD2">
      <w:pPr>
        <w:spacing w:after="0" w:line="240" w:lineRule="auto"/>
        <w:jc w:val="center"/>
        <w:rPr>
          <w:rFonts w:ascii="Calibri" w:hAnsi="Calibri" w:cs="Calibri"/>
          <w:bCs/>
        </w:rPr>
      </w:pPr>
      <w:r w:rsidRPr="001748DE">
        <w:rPr>
          <w:rFonts w:ascii="Calibri" w:hAnsi="Calibri" w:cs="Calibri"/>
          <w:bCs/>
          <w:noProof/>
        </w:rPr>
        <w:drawing>
          <wp:inline distT="0" distB="0" distL="0" distR="0" wp14:anchorId="02F172C5" wp14:editId="0750BFDB">
            <wp:extent cx="2908800" cy="3600000"/>
            <wp:effectExtent l="0" t="0" r="6350" b="635"/>
            <wp:docPr id="1802999623" name="Immagine 1" descr="Immagine che contiene testo, schermata, Carattere,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99623" name="Immagine 1" descr="Immagine che contiene testo, schermata, Carattere, diagramma&#10;&#10;Il contenuto generato dall'IA potrebbe non essere corretto."/>
                    <pic:cNvPicPr/>
                  </pic:nvPicPr>
                  <pic:blipFill>
                    <a:blip r:embed="rId5"/>
                    <a:stretch>
                      <a:fillRect/>
                    </a:stretch>
                  </pic:blipFill>
                  <pic:spPr>
                    <a:xfrm>
                      <a:off x="0" y="0"/>
                      <a:ext cx="2908800" cy="3600000"/>
                    </a:xfrm>
                    <a:prstGeom prst="rect">
                      <a:avLst/>
                    </a:prstGeom>
                  </pic:spPr>
                </pic:pic>
              </a:graphicData>
            </a:graphic>
          </wp:inline>
        </w:drawing>
      </w:r>
      <w:r w:rsidRPr="00A12127">
        <w:rPr>
          <w:rFonts w:ascii="Calibri" w:hAnsi="Calibri" w:cs="Calibri"/>
          <w:bCs/>
          <w:noProof/>
        </w:rPr>
        <w:drawing>
          <wp:inline distT="0" distB="0" distL="0" distR="0" wp14:anchorId="5B80DB37" wp14:editId="79D54F51">
            <wp:extent cx="2520000" cy="3600000"/>
            <wp:effectExtent l="0" t="0" r="0" b="635"/>
            <wp:docPr id="15999283" name="Immagine 1"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283" name="Immagine 1" descr="Immagine che contiene testo, schermata, design&#10;&#10;Il contenuto generato dall'IA potrebbe non essere corretto."/>
                    <pic:cNvPicPr/>
                  </pic:nvPicPr>
                  <pic:blipFill>
                    <a:blip r:embed="rId6"/>
                    <a:stretch>
                      <a:fillRect/>
                    </a:stretch>
                  </pic:blipFill>
                  <pic:spPr>
                    <a:xfrm>
                      <a:off x="0" y="0"/>
                      <a:ext cx="2520000" cy="3600000"/>
                    </a:xfrm>
                    <a:prstGeom prst="rect">
                      <a:avLst/>
                    </a:prstGeom>
                  </pic:spPr>
                </pic:pic>
              </a:graphicData>
            </a:graphic>
          </wp:inline>
        </w:drawing>
      </w:r>
    </w:p>
    <w:p w14:paraId="75BF3A9E" w14:textId="77777777" w:rsidR="00E02BD2" w:rsidRPr="00B835C4" w:rsidRDefault="00E02BD2" w:rsidP="00E02BD2">
      <w:pPr>
        <w:spacing w:after="0" w:line="240" w:lineRule="auto"/>
        <w:jc w:val="both"/>
        <w:rPr>
          <w:rFonts w:cstheme="minorHAnsi"/>
          <w:b/>
        </w:rPr>
      </w:pPr>
      <w:r w:rsidRPr="00B835C4">
        <w:rPr>
          <w:rFonts w:cstheme="minorHAnsi"/>
          <w:b/>
          <w:color w:val="C00000"/>
          <w:sz w:val="44"/>
          <w:szCs w:val="44"/>
        </w:rPr>
        <w:t>Descrizione storico-bibliografica</w:t>
      </w:r>
      <w:r w:rsidRPr="00B835C4">
        <w:rPr>
          <w:rFonts w:cstheme="minorHAnsi"/>
          <w:b/>
        </w:rPr>
        <w:t xml:space="preserve"> </w:t>
      </w:r>
    </w:p>
    <w:p w14:paraId="0D4DABBB" w14:textId="77777777" w:rsidR="00E02BD2" w:rsidRPr="00E02BD2" w:rsidRDefault="00E02BD2" w:rsidP="00E02BD2">
      <w:pPr>
        <w:spacing w:after="0" w:line="240" w:lineRule="auto"/>
        <w:jc w:val="both"/>
        <w:rPr>
          <w:rFonts w:ascii="Calibri" w:hAnsi="Calibri" w:cs="Calibri"/>
          <w:bCs/>
          <w:sz w:val="28"/>
          <w:szCs w:val="28"/>
        </w:rPr>
      </w:pPr>
      <w:r w:rsidRPr="00E02BD2">
        <w:rPr>
          <w:rFonts w:ascii="Calibri" w:hAnsi="Calibri" w:cs="Calibri"/>
          <w:bCs/>
          <w:sz w:val="28"/>
          <w:szCs w:val="28"/>
        </w:rPr>
        <w:t>*</w:t>
      </w:r>
      <w:r w:rsidRPr="00E02BD2">
        <w:rPr>
          <w:rFonts w:ascii="Calibri" w:hAnsi="Calibri" w:cs="Calibri"/>
          <w:b/>
          <w:sz w:val="28"/>
          <w:szCs w:val="28"/>
        </w:rPr>
        <w:t>Bilanci consuntivi</w:t>
      </w:r>
      <w:r w:rsidRPr="00E02BD2">
        <w:rPr>
          <w:rFonts w:ascii="Calibri" w:hAnsi="Calibri" w:cs="Calibri"/>
          <w:bCs/>
          <w:sz w:val="28"/>
          <w:szCs w:val="28"/>
        </w:rPr>
        <w:t xml:space="preserve"> / Istituti amministrati dalla Direzione delle Opere pie di San Paolo in Torino. – 1875-1887. - Torino : [s.n., 1876-1888]. – volumi ; 35-37 cm. ((Annuale irregolare. – L’editore varia. - Descrizione basata su: 1875. - MIL0635556</w:t>
      </w:r>
    </w:p>
    <w:p w14:paraId="77C1E226" w14:textId="77777777" w:rsidR="00E02BD2" w:rsidRPr="00E02BD2" w:rsidRDefault="00E02BD2" w:rsidP="00E02BD2">
      <w:pPr>
        <w:spacing w:after="0" w:line="240" w:lineRule="auto"/>
        <w:jc w:val="both"/>
        <w:rPr>
          <w:rFonts w:ascii="Calibri" w:hAnsi="Calibri" w:cs="Calibri"/>
          <w:bCs/>
          <w:sz w:val="28"/>
          <w:szCs w:val="28"/>
        </w:rPr>
      </w:pPr>
      <w:r w:rsidRPr="00E02BD2">
        <w:rPr>
          <w:rFonts w:ascii="Calibri" w:hAnsi="Calibri" w:cs="Calibri"/>
          <w:sz w:val="28"/>
          <w:szCs w:val="28"/>
        </w:rPr>
        <w:t>Autore:</w:t>
      </w:r>
      <w:r w:rsidRPr="00E02BD2">
        <w:rPr>
          <w:rFonts w:ascii="Calibri" w:hAnsi="Calibri" w:cs="Calibri"/>
          <w:b/>
          <w:bCs/>
          <w:sz w:val="28"/>
          <w:szCs w:val="28"/>
        </w:rPr>
        <w:t xml:space="preserve"> </w:t>
      </w:r>
      <w:r w:rsidRPr="00E02BD2">
        <w:rPr>
          <w:rFonts w:ascii="Calibri" w:hAnsi="Calibri" w:cs="Calibri"/>
          <w:bCs/>
          <w:sz w:val="28"/>
          <w:szCs w:val="28"/>
        </w:rPr>
        <w:t xml:space="preserve">Opere pie di San Paolo &lt;Torino&gt;; poi: </w:t>
      </w:r>
      <w:r w:rsidRPr="00631D63">
        <w:rPr>
          <w:rFonts w:ascii="Calibri" w:hAnsi="Calibri" w:cs="Calibri"/>
          <w:bCs/>
          <w:sz w:val="28"/>
          <w:szCs w:val="28"/>
        </w:rPr>
        <w:t xml:space="preserve">Istituto bancario San Paolo di Torino : Direzione delle opere pie </w:t>
      </w:r>
    </w:p>
    <w:p w14:paraId="009ADF2C" w14:textId="12723674" w:rsidR="00E02BD2" w:rsidRDefault="00E02BD2" w:rsidP="00E02BD2">
      <w:pPr>
        <w:spacing w:after="0" w:line="240" w:lineRule="auto"/>
        <w:jc w:val="both"/>
        <w:rPr>
          <w:rFonts w:ascii="Calibri" w:hAnsi="Calibri" w:cs="Calibri"/>
          <w:bCs/>
          <w:sz w:val="28"/>
          <w:szCs w:val="28"/>
        </w:rPr>
      </w:pPr>
      <w:r>
        <w:rPr>
          <w:rFonts w:ascii="Calibri" w:hAnsi="Calibri" w:cs="Calibri"/>
          <w:bCs/>
          <w:sz w:val="28"/>
          <w:szCs w:val="28"/>
        </w:rPr>
        <w:t xml:space="preserve">Soggetto: </w:t>
      </w:r>
      <w:r w:rsidRPr="00E02BD2">
        <w:rPr>
          <w:rFonts w:ascii="Calibri" w:hAnsi="Calibri" w:cs="Calibri"/>
          <w:bCs/>
          <w:sz w:val="28"/>
          <w:szCs w:val="28"/>
        </w:rPr>
        <w:t xml:space="preserve">Istituto delle Opere Pie di San Paolo </w:t>
      </w:r>
      <w:r>
        <w:rPr>
          <w:rFonts w:ascii="Calibri" w:hAnsi="Calibri" w:cs="Calibri"/>
          <w:bCs/>
          <w:sz w:val="28"/>
          <w:szCs w:val="28"/>
        </w:rPr>
        <w:t>–</w:t>
      </w:r>
      <w:r w:rsidRPr="00E02BD2">
        <w:rPr>
          <w:rFonts w:ascii="Calibri" w:hAnsi="Calibri" w:cs="Calibri"/>
          <w:bCs/>
          <w:sz w:val="28"/>
          <w:szCs w:val="28"/>
        </w:rPr>
        <w:t xml:space="preserve"> Torino</w:t>
      </w:r>
    </w:p>
    <w:p w14:paraId="594643D4" w14:textId="77777777" w:rsidR="00E02BD2" w:rsidRPr="00E02BD2" w:rsidRDefault="00E02BD2" w:rsidP="00E02BD2">
      <w:pPr>
        <w:spacing w:after="0" w:line="240" w:lineRule="auto"/>
        <w:jc w:val="both"/>
        <w:rPr>
          <w:rFonts w:ascii="Calibri" w:hAnsi="Calibri" w:cs="Calibri"/>
          <w:bCs/>
          <w:sz w:val="28"/>
          <w:szCs w:val="28"/>
        </w:rPr>
      </w:pPr>
    </w:p>
    <w:p w14:paraId="640DB501" w14:textId="18C960FF" w:rsidR="00E02BD2" w:rsidRPr="00631D63" w:rsidRDefault="00E02BD2" w:rsidP="00E02BD2">
      <w:pPr>
        <w:spacing w:after="0" w:line="240" w:lineRule="auto"/>
        <w:jc w:val="both"/>
        <w:rPr>
          <w:rFonts w:ascii="Calibri" w:hAnsi="Calibri" w:cs="Calibri"/>
          <w:bCs/>
          <w:sz w:val="28"/>
          <w:szCs w:val="28"/>
        </w:rPr>
      </w:pPr>
      <w:r w:rsidRPr="00E02BD2">
        <w:rPr>
          <w:rFonts w:ascii="Calibri" w:hAnsi="Calibri" w:cs="Calibri"/>
          <w:bCs/>
          <w:sz w:val="28"/>
          <w:szCs w:val="28"/>
        </w:rPr>
        <w:t>*</w:t>
      </w:r>
      <w:r w:rsidRPr="00E02BD2">
        <w:rPr>
          <w:rFonts w:ascii="Calibri" w:hAnsi="Calibri" w:cs="Calibri"/>
          <w:b/>
          <w:sz w:val="28"/>
          <w:szCs w:val="28"/>
        </w:rPr>
        <w:t>Bilancio di missione</w:t>
      </w:r>
      <w:r w:rsidRPr="00E02BD2">
        <w:rPr>
          <w:rFonts w:ascii="Calibri" w:hAnsi="Calibri" w:cs="Calibri"/>
          <w:bCs/>
          <w:sz w:val="28"/>
          <w:szCs w:val="28"/>
        </w:rPr>
        <w:t xml:space="preserve"> ... / Ufficio Pio della Compagnia di San Paolo. - 2006-2012. - Torino : Ufficio Pio della Compagnia di San Paolo, 2007-2018. – 7 volumi : ill. ; 30 cm + 5 file PDF. ((Annuale. - Dal 2008 complemento del titolo: riferito ai dati d'esercizio.... – Disponibile anche online; dal 2014 solo online. - UTO1330467</w:t>
      </w:r>
    </w:p>
    <w:p w14:paraId="7CE5C219" w14:textId="77777777" w:rsidR="00E02BD2" w:rsidRPr="00E02BD2" w:rsidRDefault="00E02BD2" w:rsidP="00E02BD2">
      <w:pPr>
        <w:spacing w:after="0" w:line="240" w:lineRule="auto"/>
        <w:jc w:val="both"/>
        <w:rPr>
          <w:rFonts w:ascii="Calibri" w:hAnsi="Calibri" w:cs="Calibri"/>
          <w:bCs/>
          <w:sz w:val="28"/>
          <w:szCs w:val="28"/>
        </w:rPr>
      </w:pPr>
      <w:r w:rsidRPr="00E02BD2">
        <w:rPr>
          <w:rFonts w:ascii="Calibri" w:hAnsi="Calibri" w:cs="Calibri"/>
          <w:sz w:val="28"/>
          <w:szCs w:val="28"/>
        </w:rPr>
        <w:t>Autore:</w:t>
      </w:r>
      <w:r w:rsidRPr="00E02BD2">
        <w:rPr>
          <w:rFonts w:ascii="Calibri" w:hAnsi="Calibri" w:cs="Calibri"/>
          <w:b/>
          <w:bCs/>
          <w:sz w:val="28"/>
          <w:szCs w:val="28"/>
        </w:rPr>
        <w:t xml:space="preserve"> </w:t>
      </w:r>
      <w:r w:rsidRPr="00E02BD2">
        <w:rPr>
          <w:rFonts w:ascii="Calibri" w:hAnsi="Calibri" w:cs="Calibri"/>
          <w:bCs/>
          <w:sz w:val="28"/>
          <w:szCs w:val="28"/>
        </w:rPr>
        <w:t>Compagnia di san Paolo : Ufficio Pio</w:t>
      </w:r>
    </w:p>
    <w:p w14:paraId="359A98D2" w14:textId="77777777" w:rsidR="00E02BD2" w:rsidRPr="00E02BD2" w:rsidRDefault="00E02BD2" w:rsidP="00E02BD2">
      <w:pPr>
        <w:spacing w:after="0" w:line="240" w:lineRule="auto"/>
        <w:jc w:val="both"/>
        <w:rPr>
          <w:rFonts w:ascii="Calibri" w:hAnsi="Calibri" w:cs="Calibri"/>
          <w:bCs/>
          <w:sz w:val="28"/>
          <w:szCs w:val="28"/>
        </w:rPr>
      </w:pPr>
      <w:r w:rsidRPr="00E02BD2">
        <w:rPr>
          <w:rFonts w:ascii="Calibri" w:hAnsi="Calibri" w:cs="Calibri"/>
          <w:b/>
          <w:color w:val="C00000"/>
          <w:sz w:val="28"/>
          <w:szCs w:val="28"/>
        </w:rPr>
        <w:t xml:space="preserve">Copia digitale: </w:t>
      </w:r>
      <w:hyperlink r:id="rId7" w:history="1">
        <w:r w:rsidRPr="00E02BD2">
          <w:rPr>
            <w:rStyle w:val="Collegamentoipertestuale"/>
            <w:rFonts w:ascii="Calibri" w:hAnsi="Calibri" w:cs="Calibri"/>
            <w:bCs/>
            <w:sz w:val="28"/>
            <w:szCs w:val="28"/>
          </w:rPr>
          <w:t>2007-2018</w:t>
        </w:r>
      </w:hyperlink>
    </w:p>
    <w:p w14:paraId="7E81E1EB" w14:textId="77777777" w:rsidR="00E02BD2" w:rsidRPr="00E02BD2" w:rsidRDefault="00E02BD2" w:rsidP="00E02BD2">
      <w:pPr>
        <w:spacing w:after="0" w:line="240" w:lineRule="auto"/>
        <w:jc w:val="both"/>
        <w:rPr>
          <w:rFonts w:ascii="Calibri" w:hAnsi="Calibri" w:cs="Calibri"/>
          <w:bCs/>
          <w:sz w:val="28"/>
          <w:szCs w:val="28"/>
        </w:rPr>
      </w:pPr>
    </w:p>
    <w:p w14:paraId="15543803" w14:textId="507047DE" w:rsidR="00E02BD2" w:rsidRPr="00E02BD2" w:rsidRDefault="00E02BD2" w:rsidP="00E02BD2">
      <w:pPr>
        <w:spacing w:after="0" w:line="240" w:lineRule="auto"/>
        <w:jc w:val="both"/>
        <w:rPr>
          <w:rFonts w:ascii="Calibri" w:hAnsi="Calibri" w:cs="Calibri"/>
          <w:bCs/>
          <w:sz w:val="28"/>
          <w:szCs w:val="28"/>
        </w:rPr>
      </w:pPr>
      <w:r w:rsidRPr="00E02BD2">
        <w:rPr>
          <w:rFonts w:ascii="Calibri" w:hAnsi="Calibri" w:cs="Calibri"/>
          <w:bCs/>
          <w:sz w:val="28"/>
          <w:szCs w:val="28"/>
        </w:rPr>
        <w:t>*</w:t>
      </w:r>
      <w:r w:rsidRPr="00E02BD2">
        <w:rPr>
          <w:rFonts w:ascii="Calibri" w:hAnsi="Calibri" w:cs="Calibri"/>
          <w:b/>
          <w:sz w:val="28"/>
          <w:szCs w:val="28"/>
        </w:rPr>
        <w:t>Bilancio sociale</w:t>
      </w:r>
      <w:r w:rsidRPr="00E02BD2">
        <w:rPr>
          <w:rFonts w:ascii="Calibri" w:hAnsi="Calibri" w:cs="Calibri"/>
          <w:bCs/>
          <w:sz w:val="28"/>
          <w:szCs w:val="28"/>
        </w:rPr>
        <w:t xml:space="preserve"> ... / Fondazione Ufficio Pio : solidarietà e cambiamento sociale. – 2021-    . - Torino : Ufficio Pio della Compagnia di San Paolo, 2022-    . – Testi elettronici (file PDF). ((Annuale. - Disponibile online</w:t>
      </w:r>
    </w:p>
    <w:p w14:paraId="5AF5998A" w14:textId="405A62E5" w:rsidR="00E02BD2" w:rsidRDefault="00E02BD2" w:rsidP="00E02BD2">
      <w:pPr>
        <w:spacing w:after="0" w:line="240" w:lineRule="auto"/>
        <w:jc w:val="both"/>
        <w:rPr>
          <w:rFonts w:ascii="Calibri" w:hAnsi="Calibri" w:cs="Calibri"/>
          <w:bCs/>
          <w:sz w:val="28"/>
          <w:szCs w:val="28"/>
        </w:rPr>
      </w:pPr>
      <w:r w:rsidRPr="00E02BD2">
        <w:rPr>
          <w:rFonts w:ascii="Calibri" w:hAnsi="Calibri" w:cs="Calibri"/>
          <w:b/>
          <w:color w:val="C00000"/>
          <w:sz w:val="28"/>
          <w:szCs w:val="28"/>
        </w:rPr>
        <w:t xml:space="preserve">Copia digitale: </w:t>
      </w:r>
      <w:hyperlink r:id="rId8" w:history="1">
        <w:r w:rsidRPr="00E02BD2">
          <w:rPr>
            <w:rStyle w:val="Collegamentoipertestuale"/>
            <w:rFonts w:ascii="Calibri" w:hAnsi="Calibri" w:cs="Calibri"/>
            <w:bCs/>
            <w:sz w:val="28"/>
            <w:szCs w:val="28"/>
          </w:rPr>
          <w:t>2021-</w:t>
        </w:r>
      </w:hyperlink>
    </w:p>
    <w:p w14:paraId="3F426B06" w14:textId="77777777" w:rsidR="00E02BD2" w:rsidRDefault="00E02BD2" w:rsidP="00E02BD2">
      <w:pPr>
        <w:spacing w:after="0" w:line="240" w:lineRule="auto"/>
        <w:jc w:val="both"/>
        <w:rPr>
          <w:rFonts w:ascii="Calibri" w:hAnsi="Calibri" w:cs="Calibri"/>
          <w:bCs/>
          <w:sz w:val="28"/>
          <w:szCs w:val="28"/>
        </w:rPr>
      </w:pPr>
    </w:p>
    <w:p w14:paraId="5AB2DC80" w14:textId="6DE96429" w:rsidR="00E02BD2" w:rsidRDefault="00E02BD2" w:rsidP="00E02BD2">
      <w:pPr>
        <w:spacing w:after="0" w:line="240" w:lineRule="auto"/>
        <w:jc w:val="both"/>
        <w:rPr>
          <w:rFonts w:ascii="Calibri" w:hAnsi="Calibri" w:cs="Calibri"/>
          <w:bCs/>
          <w:sz w:val="28"/>
          <w:szCs w:val="28"/>
        </w:rPr>
      </w:pPr>
      <w:r>
        <w:rPr>
          <w:rFonts w:ascii="Calibri" w:hAnsi="Calibri" w:cs="Calibri"/>
          <w:bCs/>
          <w:sz w:val="28"/>
          <w:szCs w:val="28"/>
        </w:rPr>
        <w:t xml:space="preserve">Soggetto: </w:t>
      </w:r>
      <w:r w:rsidRPr="00E02BD2">
        <w:rPr>
          <w:rFonts w:ascii="Calibri" w:hAnsi="Calibri" w:cs="Calibri"/>
          <w:bCs/>
          <w:sz w:val="28"/>
          <w:szCs w:val="28"/>
        </w:rPr>
        <w:t xml:space="preserve">Istituto delle Opere Pie di San Paolo </w:t>
      </w:r>
      <w:r>
        <w:rPr>
          <w:rFonts w:ascii="Calibri" w:hAnsi="Calibri" w:cs="Calibri"/>
          <w:bCs/>
          <w:sz w:val="28"/>
          <w:szCs w:val="28"/>
        </w:rPr>
        <w:t>–</w:t>
      </w:r>
      <w:r w:rsidRPr="00E02BD2">
        <w:rPr>
          <w:rFonts w:ascii="Calibri" w:hAnsi="Calibri" w:cs="Calibri"/>
          <w:bCs/>
          <w:sz w:val="28"/>
          <w:szCs w:val="28"/>
        </w:rPr>
        <w:t xml:space="preserve"> Torino</w:t>
      </w:r>
      <w:r>
        <w:rPr>
          <w:rFonts w:ascii="Calibri" w:hAnsi="Calibri" w:cs="Calibri"/>
          <w:bCs/>
          <w:sz w:val="28"/>
          <w:szCs w:val="28"/>
        </w:rPr>
        <w:t xml:space="preserve"> </w:t>
      </w:r>
      <w:r w:rsidR="00D036A2">
        <w:rPr>
          <w:rFonts w:ascii="Calibri" w:hAnsi="Calibri" w:cs="Calibri"/>
          <w:bCs/>
          <w:sz w:val="28"/>
          <w:szCs w:val="28"/>
        </w:rPr>
        <w:t>–</w:t>
      </w:r>
      <w:r>
        <w:rPr>
          <w:rFonts w:ascii="Calibri" w:hAnsi="Calibri" w:cs="Calibri"/>
          <w:bCs/>
          <w:sz w:val="28"/>
          <w:szCs w:val="28"/>
        </w:rPr>
        <w:t xml:space="preserve"> </w:t>
      </w:r>
      <w:r w:rsidR="00D036A2">
        <w:rPr>
          <w:rFonts w:ascii="Calibri" w:hAnsi="Calibri" w:cs="Calibri"/>
          <w:bCs/>
          <w:sz w:val="28"/>
          <w:szCs w:val="28"/>
        </w:rPr>
        <w:t xml:space="preserve">Bilanci - </w:t>
      </w:r>
      <w:r>
        <w:rPr>
          <w:rFonts w:ascii="Calibri" w:hAnsi="Calibri" w:cs="Calibri"/>
          <w:bCs/>
          <w:sz w:val="28"/>
          <w:szCs w:val="28"/>
        </w:rPr>
        <w:t>Periodici</w:t>
      </w:r>
    </w:p>
    <w:p w14:paraId="7FDCF513" w14:textId="77777777" w:rsidR="00E02BD2" w:rsidRPr="00E02BD2" w:rsidRDefault="00E02BD2" w:rsidP="00E02BD2">
      <w:pPr>
        <w:spacing w:after="0" w:line="240" w:lineRule="auto"/>
        <w:jc w:val="both"/>
        <w:rPr>
          <w:rFonts w:ascii="Calibri" w:hAnsi="Calibri" w:cs="Calibri"/>
          <w:bCs/>
          <w:sz w:val="28"/>
          <w:szCs w:val="28"/>
        </w:rPr>
      </w:pPr>
    </w:p>
    <w:p w14:paraId="1745F3D7" w14:textId="77777777" w:rsidR="00E02BD2" w:rsidRDefault="00E02BD2" w:rsidP="00E02BD2">
      <w:pPr>
        <w:spacing w:after="0" w:line="240" w:lineRule="auto"/>
        <w:jc w:val="both"/>
        <w:rPr>
          <w:rFonts w:ascii="Calibri" w:hAnsi="Calibri" w:cs="Calibri"/>
          <w:bCs/>
        </w:rPr>
      </w:pPr>
    </w:p>
    <w:p w14:paraId="71A83CEB" w14:textId="77777777" w:rsidR="00E02BD2" w:rsidRDefault="00E02BD2" w:rsidP="00E02BD2">
      <w:pPr>
        <w:spacing w:after="0" w:line="240" w:lineRule="auto"/>
        <w:jc w:val="both"/>
        <w:rPr>
          <w:b/>
          <w:bCs/>
          <w:color w:val="C00000"/>
          <w:sz w:val="44"/>
          <w:szCs w:val="44"/>
        </w:rPr>
      </w:pPr>
      <w:r>
        <w:rPr>
          <w:b/>
          <w:bCs/>
          <w:color w:val="C00000"/>
          <w:sz w:val="44"/>
          <w:szCs w:val="44"/>
        </w:rPr>
        <w:t>Informazioni storico-bibliografiche</w:t>
      </w:r>
    </w:p>
    <w:p w14:paraId="4AF19E1C" w14:textId="77777777" w:rsidR="00E02BD2" w:rsidRDefault="00E02BD2" w:rsidP="00E02BD2">
      <w:pPr>
        <w:spacing w:after="0" w:line="240" w:lineRule="auto"/>
        <w:jc w:val="both"/>
      </w:pPr>
      <w:r w:rsidRPr="00251B7B">
        <w:rPr>
          <w:i/>
          <w:iCs/>
        </w:rPr>
        <w:t>La storia</w:t>
      </w:r>
      <w:r w:rsidRPr="00251B7B">
        <w:t xml:space="preserve"> L’Ufficio Pio della Compagnia di San Paolo è un’organizzazione che ha oltre quattro secoli di storia. Di seguito sono indicati i momenti fondamentali di questo lungo percorso; per ulteriori approfondimenti, si rimanda al sito web dell’Ufficio Pio (www.ufficiopio.torino.it/Chi-siamo/Storia) anni 1852-53 Vittorio Emanuele II restringe l’attività della Compagnia alle pratiche religiose e affida il patrimonio e la gestione delle attività assistenziali e creditizie a un consiglio di nomina pubblica, denominato Opere Pie di San Paolo, successivamente Istituto di San Paolo. Pur dando maggiore impulso al settore creditizio, il nuovo Ente prosegue e rinnova le attività dell’Ufficio Pio della Compagnia di San Paolo. </w:t>
      </w:r>
    </w:p>
    <w:p w14:paraId="324B8605" w14:textId="77777777" w:rsidR="00E02BD2" w:rsidRDefault="00E02BD2" w:rsidP="00E02BD2">
      <w:pPr>
        <w:spacing w:after="0" w:line="240" w:lineRule="auto"/>
        <w:jc w:val="both"/>
        <w:rPr>
          <w:i/>
          <w:iCs/>
        </w:rPr>
      </w:pPr>
      <w:r w:rsidRPr="00251B7B">
        <w:rPr>
          <w:rFonts w:ascii="Arial" w:hAnsi="Arial" w:cs="Arial"/>
        </w:rPr>
        <w:t>■</w:t>
      </w:r>
      <w:r w:rsidRPr="00251B7B">
        <w:t xml:space="preserve"> anno 1932 Il Governo riconosce la rilevanza del San Paolo nell</w:t>
      </w:r>
      <w:r w:rsidRPr="00251B7B">
        <w:rPr>
          <w:rFonts w:ascii="Calibri" w:hAnsi="Calibri" w:cs="Calibri"/>
        </w:rPr>
        <w:t>’</w:t>
      </w:r>
      <w:r w:rsidRPr="00251B7B">
        <w:t>economia del Paese e le finalità di pubblico interesse, conferendogli lo statuto di Istituto di credito di diritto pubblico. A partire dal secondo dopoguerra, l’Istituto Bancario San Paolo di Torino conosce una grande espansione nazionale e internazionale fino a diventare uno dei più importanti gruppi a livello europeo. Di pari passo proseguono le attività di promozione sociale, cui il San Paolo destina una quota consistente degli utili di esercizio</w:t>
      </w:r>
      <w:r>
        <w:t xml:space="preserve">. </w:t>
      </w:r>
      <w:r w:rsidRPr="001748DE">
        <w:rPr>
          <w:i/>
          <w:iCs/>
        </w:rPr>
        <w:t>bilancio di missione 2011 / Ufficio Pio, p.17</w:t>
      </w:r>
    </w:p>
    <w:p w14:paraId="16612C3C" w14:textId="77777777" w:rsidR="00E02BD2" w:rsidRDefault="00E02BD2" w:rsidP="00E02BD2">
      <w:pPr>
        <w:spacing w:after="0" w:line="240" w:lineRule="auto"/>
        <w:jc w:val="both"/>
        <w:rPr>
          <w:i/>
          <w:iCs/>
        </w:rPr>
      </w:pPr>
    </w:p>
    <w:p w14:paraId="28EAB90A" w14:textId="77777777" w:rsidR="00E02BD2" w:rsidRPr="001748DE" w:rsidRDefault="00E02BD2" w:rsidP="00E02BD2">
      <w:pPr>
        <w:spacing w:after="0" w:line="240" w:lineRule="auto"/>
        <w:jc w:val="both"/>
      </w:pPr>
      <w:r w:rsidRPr="001748DE">
        <w:t xml:space="preserve">Con la nascita delle Opere Pie di San Paolo, nel 1853, iniziò a svilupparsi una vera e propria funzione creditizia. Vennero compilati i regolamenti per i due Monti approvati nel medesimo anno (27/11/1853). "Gli utili risultanti dal complesso delle operazioni del Monte, pagate tutte le spese di amministrazione, saranno esclusivamente erogati in fondo di dotazione del medesimo sino alla concorrente somma di L. 500.000". Il regolamento del Monte gratuito prevedeva invece prestiti soltanto fino a L. 10 e non inferiore al 50 centesimi, con obbligo di riscatto entro sei mesi. I pegni non riscossi potevano essere venduti all'incanto due volte l'anno. A carico dei pignoranti venne stabilito un interesse del 6%. I prestiti su pegni venivano concessi solo alle classi povere e pertanto non vennero previsti pagamenti di interessi o rimborsi spese; diretta conseguenza di questa impostazione fu quindi l'esclusione dalle operazioni di pegno di tutti gli oggetti di lusso e quelli ritenuti deperibili. II regolamento del Monte di Pietà ad interessi stabiliva che chiunque poteva depositare il proprio denaro presso il Monte di Pietà in cui erano operative due Casse, una di Riserva e una Attiva. I capitali transitavano dalle due casse secondo criteri di anzianità del deposito: i capitali presenti nella prima cassa - quella di riserva - non fruttavano interessi; quelli depositati nella seconda maturavano un interesse annuo del 4%. Il pignorante avrebbe dovuto pagare per le somme ricevute un interesse annuo del 6% e riscattare il pegno entro 6 mesi con possibilità di rinnovare il pegno per successivi 6 mesi. Il regolamento prevedeva poi le norme per gli incanti dei pegni non riscattati e quelle relative ad eventuali contenziosi. Il capo VII del Regolamento trattava dell'amministrazione e degli impiegati del Monte ad interesse posto sotto l'egida della Direzione delle Opere pie di San Paolo per mezzo di un'apposita Commissione composta da 6 membri a nomina annuale. La Commissione avrebbe poi scelto, ogni mese, un Delegato con l'incarico di dirigere gli impiegai del Monte e di sovrintendere all'attività corrente dell'Istituto. Importanti norme furono quelle relative agli utili del Monte che - pagate le spese di amministrazione - "saranno esclusivamente erogati in fondo di dotazione sino alla concorrente di Lire cinquecento mila". Superata tale cifra l'Amministrazione avrebbe potuto ridurre le spese cui vanno soggetti i pignoranti ed individuare nuovi mezzi per l'investimento della parte eventualmente restante di tali utili, attribuendo al Monte le funzioni di un vero e proprio istituto di credito. Nel ventennio 1859-1879 l'attività creditizia si sviluppò ampiamente. </w:t>
      </w:r>
      <w:hyperlink r:id="rId9" w:history="1">
        <w:r w:rsidRPr="007B615C">
          <w:rPr>
            <w:rStyle w:val="Collegamentoipertestuale"/>
          </w:rPr>
          <w:t>https://siusa-archivi.cultura.gov.it/cgi-bin/siusa/pagina.pl?TipoPag=prodente&amp;Chiave=61703</w:t>
        </w:r>
      </w:hyperlink>
      <w:r>
        <w:t xml:space="preserve">. </w:t>
      </w:r>
    </w:p>
    <w:p w14:paraId="4FC973CC" w14:textId="77777777" w:rsidR="00E02BD2" w:rsidRDefault="00E02BD2" w:rsidP="00E02BD2">
      <w:pPr>
        <w:spacing w:after="0" w:line="240" w:lineRule="auto"/>
        <w:jc w:val="both"/>
      </w:pPr>
    </w:p>
    <w:p w14:paraId="7E6C37AA" w14:textId="77777777" w:rsidR="00E02BD2" w:rsidRDefault="00E02BD2" w:rsidP="00E02BD2">
      <w:pPr>
        <w:spacing w:after="0" w:line="240" w:lineRule="auto"/>
        <w:jc w:val="both"/>
      </w:pPr>
      <w:r w:rsidRPr="00C47E41">
        <w:t xml:space="preserve">Annualmente pubblichiamo il Bilancio Sociale, un documento che racconta la </w:t>
      </w:r>
      <w:r w:rsidRPr="00C47E41">
        <w:rPr>
          <w:b/>
          <w:bCs/>
        </w:rPr>
        <w:t>nostra identità</w:t>
      </w:r>
      <w:r w:rsidRPr="00C47E41">
        <w:t>, rendiconta e commenta l’</w:t>
      </w:r>
      <w:r w:rsidRPr="00C47E41">
        <w:rPr>
          <w:b/>
          <w:bCs/>
        </w:rPr>
        <w:t>attività svolta</w:t>
      </w:r>
      <w:r w:rsidRPr="00C47E41">
        <w:t xml:space="preserve"> nell’anno precedente, espone i nostri </w:t>
      </w:r>
      <w:r w:rsidRPr="00C47E41">
        <w:rPr>
          <w:b/>
          <w:bCs/>
        </w:rPr>
        <w:t>programmi</w:t>
      </w:r>
      <w:r w:rsidRPr="00C47E41">
        <w:t xml:space="preserve"> ed è arricchito dal contributo degli stakeholder. </w:t>
      </w:r>
      <w:hyperlink r:id="rId10" w:history="1">
        <w:r w:rsidRPr="007B615C">
          <w:rPr>
            <w:rStyle w:val="Collegamentoipertestuale"/>
          </w:rPr>
          <w:t>https://www.ufficiopio.it/bilanci-sociali/</w:t>
        </w:r>
      </w:hyperlink>
      <w:r>
        <w:t xml:space="preserve">. </w:t>
      </w:r>
    </w:p>
    <w:p w14:paraId="18A07DCE" w14:textId="77777777" w:rsidR="00E02BD2" w:rsidRPr="00251B7B" w:rsidRDefault="00E02BD2" w:rsidP="00E02BD2">
      <w:pPr>
        <w:spacing w:after="0" w:line="240" w:lineRule="auto"/>
        <w:jc w:val="both"/>
      </w:pPr>
    </w:p>
    <w:p w14:paraId="7D458719" w14:textId="77777777" w:rsidR="00E02BD2" w:rsidRDefault="00E02BD2" w:rsidP="00E02BD2">
      <w:pPr>
        <w:spacing w:after="0" w:line="240" w:lineRule="auto"/>
        <w:jc w:val="both"/>
        <w:rPr>
          <w:b/>
          <w:bCs/>
          <w:color w:val="C00000"/>
          <w:sz w:val="44"/>
          <w:szCs w:val="44"/>
        </w:rPr>
      </w:pPr>
    </w:p>
    <w:p w14:paraId="600703DA" w14:textId="1464E22D" w:rsidR="00E02BD2" w:rsidRPr="00502667" w:rsidRDefault="00E02BD2" w:rsidP="00E02BD2">
      <w:pPr>
        <w:spacing w:after="0" w:line="240" w:lineRule="auto"/>
        <w:jc w:val="both"/>
        <w:rPr>
          <w:b/>
          <w:bCs/>
          <w:color w:val="C00000"/>
          <w:sz w:val="44"/>
          <w:szCs w:val="44"/>
        </w:rPr>
      </w:pPr>
      <w:r w:rsidRPr="00502667">
        <w:rPr>
          <w:b/>
          <w:bCs/>
          <w:color w:val="C00000"/>
          <w:sz w:val="44"/>
          <w:szCs w:val="44"/>
        </w:rPr>
        <w:lastRenderedPageBreak/>
        <w:t>Note e riferimenti bibliografici</w:t>
      </w:r>
    </w:p>
    <w:p w14:paraId="111C3E23" w14:textId="1452FEB8" w:rsidR="00E02BD2" w:rsidRDefault="00E02BD2" w:rsidP="00E02BD2">
      <w:pPr>
        <w:pStyle w:val="Paragrafoelenco"/>
        <w:numPr>
          <w:ilvl w:val="0"/>
          <w:numId w:val="1"/>
        </w:numPr>
        <w:spacing w:after="0" w:line="240" w:lineRule="auto"/>
        <w:jc w:val="both"/>
      </w:pPr>
      <w:r w:rsidRPr="00E02BD2">
        <w:t xml:space="preserve">L'Istituto delle Opere pie di S. Paolo in Torino nel 350. anno di sua esistenza : gennaio 1563-gennaio 1913. - Torino : Società tipografico-editrice nazionale, 1913. - 121, 32 c. di tav. : ill. ; 32 cm.. - CUBI 307441. - BNI 1913 2387. </w:t>
      </w:r>
    </w:p>
    <w:p w14:paraId="1EA8A6B1" w14:textId="246262FB" w:rsidR="00E02BD2" w:rsidRDefault="00E02BD2" w:rsidP="00E02BD2">
      <w:pPr>
        <w:pStyle w:val="Paragrafoelenco"/>
        <w:numPr>
          <w:ilvl w:val="0"/>
          <w:numId w:val="1"/>
        </w:numPr>
        <w:spacing w:after="0" w:line="240" w:lineRule="auto"/>
        <w:jc w:val="both"/>
      </w:pPr>
      <w:hyperlink r:id="rId11" w:history="1">
        <w:r w:rsidRPr="007B615C">
          <w:rPr>
            <w:rStyle w:val="Collegamentoipertestuale"/>
          </w:rPr>
          <w:t>https://fondazione1563test.promemoriagroup.com/oggetti/626-bilanci/</w:t>
        </w:r>
      </w:hyperlink>
      <w:r>
        <w:t xml:space="preserve">. </w:t>
      </w:r>
    </w:p>
    <w:p w14:paraId="470F98EF" w14:textId="77777777" w:rsidR="00E02BD2" w:rsidRDefault="00E02BD2" w:rsidP="00E02BD2">
      <w:pPr>
        <w:pStyle w:val="Paragrafoelenco"/>
        <w:numPr>
          <w:ilvl w:val="0"/>
          <w:numId w:val="1"/>
        </w:numPr>
        <w:spacing w:after="0" w:line="240" w:lineRule="auto"/>
        <w:jc w:val="both"/>
      </w:pPr>
      <w:r w:rsidRPr="001748DE">
        <w:t xml:space="preserve">P. COZZO, </w:t>
      </w:r>
      <w:r w:rsidRPr="001748DE">
        <w:rPr>
          <w:i/>
          <w:iCs/>
        </w:rPr>
        <w:t>Tra propaganda e «fedeltà alle origini»: la dimensione religiosa e i rapporti con le istituzioni ecclesiastiche fra Ottocento e Novecento</w:t>
      </w:r>
      <w:r w:rsidRPr="001748DE">
        <w:t xml:space="preserve">, in W. Barberis e A. Cantaluppi (a cura di), </w:t>
      </w:r>
      <w:r w:rsidRPr="001748DE">
        <w:rPr>
          <w:i/>
          <w:iCs/>
        </w:rPr>
        <w:t>La Compagnia di San Paolo (1563-2013)</w:t>
      </w:r>
      <w:r w:rsidRPr="001748DE">
        <w:t>, vol. secondo, Einaudi, Torino, 2013, pp. 157-179</w:t>
      </w:r>
    </w:p>
    <w:p w14:paraId="3C6AF15A" w14:textId="77777777" w:rsidR="00E02BD2" w:rsidRDefault="00E02BD2" w:rsidP="00E02BD2">
      <w:pPr>
        <w:pStyle w:val="Paragrafoelenco"/>
        <w:numPr>
          <w:ilvl w:val="0"/>
          <w:numId w:val="1"/>
        </w:numPr>
        <w:spacing w:after="0" w:line="240" w:lineRule="auto"/>
        <w:jc w:val="both"/>
      </w:pPr>
      <w:r w:rsidRPr="001748DE">
        <w:t xml:space="preserve">E. DE FORT, S. MUSSO e </w:t>
      </w:r>
      <w:proofErr w:type="spellStart"/>
      <w:r w:rsidRPr="001748DE">
        <w:t>E</w:t>
      </w:r>
      <w:proofErr w:type="spellEnd"/>
      <w:r w:rsidRPr="001748DE">
        <w:t xml:space="preserve">. MANA, </w:t>
      </w:r>
      <w:r w:rsidRPr="001748DE">
        <w:rPr>
          <w:i/>
          <w:iCs/>
        </w:rPr>
        <w:t>I rapporti con il governo e con le istituzioni locali dall’Ottocento agli anni Ottanta del Novecento</w:t>
      </w:r>
      <w:r w:rsidRPr="001748DE">
        <w:t xml:space="preserve">, in W. Barberis e A. Cantaluppi (a cura di), </w:t>
      </w:r>
      <w:r w:rsidRPr="001748DE">
        <w:rPr>
          <w:i/>
          <w:iCs/>
        </w:rPr>
        <w:t>La Compagnia di San Paolo (1563-2013)</w:t>
      </w:r>
      <w:r w:rsidRPr="001748DE">
        <w:t xml:space="preserve"> cit., pp. 98-156</w:t>
      </w:r>
    </w:p>
    <w:p w14:paraId="6DB9CC14" w14:textId="77777777" w:rsidR="00E02BD2" w:rsidRDefault="00E02BD2" w:rsidP="00E02BD2">
      <w:pPr>
        <w:pStyle w:val="Paragrafoelenco"/>
        <w:numPr>
          <w:ilvl w:val="0"/>
          <w:numId w:val="1"/>
        </w:numPr>
        <w:spacing w:after="0" w:line="240" w:lineRule="auto"/>
        <w:jc w:val="both"/>
      </w:pPr>
      <w:r w:rsidRPr="001748DE">
        <w:t xml:space="preserve">S. POZZATI, </w:t>
      </w:r>
      <w:r w:rsidRPr="001748DE">
        <w:rPr>
          <w:i/>
          <w:iCs/>
        </w:rPr>
        <w:t>Tutte son opere di questo Ufficio". L'Ufficio Pio della Compagnia di San Paolo: da quattro secoli vicino alle persone</w:t>
      </w:r>
      <w:r w:rsidRPr="001748DE">
        <w:t>, Ufficio Pio della Compagnia di San Paolo Onlus, Torino, 2013</w:t>
      </w:r>
    </w:p>
    <w:p w14:paraId="0BD718ED" w14:textId="77777777" w:rsidR="00E02BD2" w:rsidRDefault="00E02BD2" w:rsidP="00E02BD2">
      <w:pPr>
        <w:pStyle w:val="Paragrafoelenco"/>
        <w:numPr>
          <w:ilvl w:val="0"/>
          <w:numId w:val="1"/>
        </w:numPr>
        <w:spacing w:after="0" w:line="240" w:lineRule="auto"/>
        <w:jc w:val="both"/>
      </w:pPr>
      <w:r w:rsidRPr="001748DE">
        <w:t>D. ROBOTTI, S. Inaudi, </w:t>
      </w:r>
      <w:r w:rsidRPr="001748DE">
        <w:rPr>
          <w:i/>
          <w:iCs/>
        </w:rPr>
        <w:t>Carità, beneficenza, assistenza. L'azione sociale del San Paolo tra privato e pubblico (1853-1991)</w:t>
      </w:r>
      <w:r w:rsidRPr="001748DE">
        <w:t>, in W. Barberis e A. Cantaluppi (a cura di), </w:t>
      </w:r>
      <w:r w:rsidRPr="001748DE">
        <w:rPr>
          <w:i/>
          <w:iCs/>
        </w:rPr>
        <w:t>La Compagnia di San Paolo (1563-2013)</w:t>
      </w:r>
      <w:r w:rsidRPr="001748DE">
        <w:t> cit., pp. 369-401</w:t>
      </w:r>
    </w:p>
    <w:p w14:paraId="55E3E0BD" w14:textId="77777777" w:rsidR="00E02BD2" w:rsidRDefault="00E02BD2" w:rsidP="00E02BD2">
      <w:pPr>
        <w:pStyle w:val="Paragrafoelenco"/>
        <w:numPr>
          <w:ilvl w:val="0"/>
          <w:numId w:val="1"/>
        </w:numPr>
        <w:spacing w:after="0" w:line="240" w:lineRule="auto"/>
        <w:jc w:val="both"/>
      </w:pPr>
      <w:r w:rsidRPr="00A12127">
        <w:t>Filantropia e credito : atlante dei documenti contabili dalla Compagnia all'Istituto bancario San Paolo di Torino (secoli 16.-20.) / [a cura di] Claudio Bermond, Fausto Piola Caselli ; con la collaborazione di Anna Cantaluppi. - Firenze : Olschki, 2020. - XXI, 280 p.: ill. ; 34 cm. - (Quaderni dell'Archivio storico della Compagnia di San Paolo. Nuova serie ; 3). - In testa al frontespizio: Fondazione 1563 per l'arte e la cultura</w:t>
      </w:r>
    </w:p>
    <w:p w14:paraId="223185AF" w14:textId="77777777" w:rsidR="00E02BD2" w:rsidRPr="00502667" w:rsidRDefault="00E02BD2" w:rsidP="00E02BD2">
      <w:pPr>
        <w:pStyle w:val="Paragrafoelenco"/>
        <w:numPr>
          <w:ilvl w:val="0"/>
          <w:numId w:val="1"/>
        </w:numPr>
        <w:spacing w:after="0" w:line="240" w:lineRule="auto"/>
        <w:jc w:val="both"/>
      </w:pPr>
      <w:r w:rsidRPr="00A12127">
        <w:t>LA COMPAGNIA DI SAN PAOLO TRA FILANTROPIA E CREDITO. LA GESTIONE CONTABILE E AMMINISTRATIVA NEI SECOLI XVI-XX (*) Claudio Bermond, Fausto Piola Caselli, Anna Cantaluppi</w:t>
      </w:r>
      <w:r>
        <w:t>. Numero speciale 2021, p.485-492</w:t>
      </w:r>
    </w:p>
    <w:p w14:paraId="60E247F0" w14:textId="77777777" w:rsidR="00E02BD2" w:rsidRDefault="00E02BD2" w:rsidP="00E02BD2">
      <w:pPr>
        <w:spacing w:after="0" w:line="240" w:lineRule="auto"/>
        <w:ind w:left="360"/>
        <w:jc w:val="both"/>
      </w:pPr>
    </w:p>
    <w:p w14:paraId="63EEB952" w14:textId="77777777" w:rsidR="00E02BD2" w:rsidRPr="00631D63" w:rsidRDefault="00E02BD2" w:rsidP="00E02BD2">
      <w:pPr>
        <w:spacing w:after="0" w:line="240" w:lineRule="auto"/>
        <w:jc w:val="both"/>
        <w:rPr>
          <w:rFonts w:ascii="Calibri" w:hAnsi="Calibri" w:cs="Calibri"/>
          <w:bCs/>
        </w:rPr>
      </w:pPr>
    </w:p>
    <w:p w14:paraId="584877A6" w14:textId="77777777" w:rsidR="00E02BD2" w:rsidRDefault="00E02BD2" w:rsidP="00E02BD2"/>
    <w:p w14:paraId="7DD95348" w14:textId="77777777" w:rsidR="0031062F" w:rsidRDefault="0031062F"/>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1A39BA"/>
    <w:multiLevelType w:val="hybridMultilevel"/>
    <w:tmpl w:val="2EB8CC18"/>
    <w:lvl w:ilvl="0" w:tplc="6A221D24">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19232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C2881"/>
    <w:rsid w:val="0031062F"/>
    <w:rsid w:val="003605E3"/>
    <w:rsid w:val="00375F4B"/>
    <w:rsid w:val="003811E4"/>
    <w:rsid w:val="005C2881"/>
    <w:rsid w:val="00653982"/>
    <w:rsid w:val="007B7347"/>
    <w:rsid w:val="00C71CAA"/>
    <w:rsid w:val="00D036A2"/>
    <w:rsid w:val="00D544E6"/>
    <w:rsid w:val="00E02BD2"/>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60F65"/>
  <w15:chartTrackingRefBased/>
  <w15:docId w15:val="{3CC58B6A-9362-432D-8D41-3954A0E57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02BD2"/>
  </w:style>
  <w:style w:type="paragraph" w:styleId="Titolo1">
    <w:name w:val="heading 1"/>
    <w:basedOn w:val="Normale"/>
    <w:next w:val="Normale"/>
    <w:link w:val="Titolo1Carattere"/>
    <w:uiPriority w:val="9"/>
    <w:qFormat/>
    <w:rsid w:val="005C288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5C288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5C288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5C288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5C288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5C288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C288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C288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C288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C288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5C288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5C288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5C288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5C288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5C288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C288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C288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C2881"/>
    <w:rPr>
      <w:rFonts w:eastAsiaTheme="majorEastAsia" w:cstheme="majorBidi"/>
      <w:color w:val="272727" w:themeColor="text1" w:themeTint="D8"/>
    </w:rPr>
  </w:style>
  <w:style w:type="paragraph" w:styleId="Titolo">
    <w:name w:val="Title"/>
    <w:basedOn w:val="Normale"/>
    <w:next w:val="Normale"/>
    <w:link w:val="TitoloCarattere"/>
    <w:uiPriority w:val="10"/>
    <w:qFormat/>
    <w:rsid w:val="005C28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C288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C288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C288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C288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C2881"/>
    <w:rPr>
      <w:i/>
      <w:iCs/>
      <w:color w:val="404040" w:themeColor="text1" w:themeTint="BF"/>
    </w:rPr>
  </w:style>
  <w:style w:type="paragraph" w:styleId="Paragrafoelenco">
    <w:name w:val="List Paragraph"/>
    <w:basedOn w:val="Normale"/>
    <w:uiPriority w:val="34"/>
    <w:qFormat/>
    <w:rsid w:val="005C2881"/>
    <w:pPr>
      <w:ind w:left="720"/>
      <w:contextualSpacing/>
    </w:pPr>
  </w:style>
  <w:style w:type="character" w:styleId="Enfasiintensa">
    <w:name w:val="Intense Emphasis"/>
    <w:basedOn w:val="Carpredefinitoparagrafo"/>
    <w:uiPriority w:val="21"/>
    <w:qFormat/>
    <w:rsid w:val="005C2881"/>
    <w:rPr>
      <w:i/>
      <w:iCs/>
      <w:color w:val="365F91" w:themeColor="accent1" w:themeShade="BF"/>
    </w:rPr>
  </w:style>
  <w:style w:type="paragraph" w:styleId="Citazioneintensa">
    <w:name w:val="Intense Quote"/>
    <w:basedOn w:val="Normale"/>
    <w:next w:val="Normale"/>
    <w:link w:val="CitazioneintensaCarattere"/>
    <w:uiPriority w:val="30"/>
    <w:qFormat/>
    <w:rsid w:val="005C288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5C2881"/>
    <w:rPr>
      <w:i/>
      <w:iCs/>
      <w:color w:val="365F91" w:themeColor="accent1" w:themeShade="BF"/>
    </w:rPr>
  </w:style>
  <w:style w:type="character" w:styleId="Riferimentointenso">
    <w:name w:val="Intense Reference"/>
    <w:basedOn w:val="Carpredefinitoparagrafo"/>
    <w:uiPriority w:val="32"/>
    <w:qFormat/>
    <w:rsid w:val="005C2881"/>
    <w:rPr>
      <w:b/>
      <w:bCs/>
      <w:smallCaps/>
      <w:color w:val="365F91" w:themeColor="accent1" w:themeShade="BF"/>
      <w:spacing w:val="5"/>
    </w:rPr>
  </w:style>
  <w:style w:type="character" w:styleId="Collegamentoipertestuale">
    <w:name w:val="Hyperlink"/>
    <w:basedOn w:val="Carpredefinitoparagrafo"/>
    <w:uiPriority w:val="99"/>
    <w:unhideWhenUsed/>
    <w:rsid w:val="00E02BD2"/>
    <w:rPr>
      <w:color w:val="0000FF" w:themeColor="hyperlink"/>
      <w:u w:val="single"/>
    </w:rPr>
  </w:style>
  <w:style w:type="character" w:styleId="Menzionenonrisolta">
    <w:name w:val="Unresolved Mention"/>
    <w:basedOn w:val="Carpredefinitoparagrafo"/>
    <w:uiPriority w:val="99"/>
    <w:semiHidden/>
    <w:unhideWhenUsed/>
    <w:rsid w:val="00E02B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fficiopio.it/bilanci-social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ufficiopio.it/bilanci-social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fondazione1563test.promemoriagroup.com/oggetti/626-bilanci/" TargetMode="External"/><Relationship Id="rId5" Type="http://schemas.openxmlformats.org/officeDocument/2006/relationships/image" Target="media/image1.png"/><Relationship Id="rId10" Type="http://schemas.openxmlformats.org/officeDocument/2006/relationships/hyperlink" Target="https://www.ufficiopio.it/bilanci-sociali/" TargetMode="External"/><Relationship Id="rId4" Type="http://schemas.openxmlformats.org/officeDocument/2006/relationships/webSettings" Target="webSettings.xml"/><Relationship Id="rId9" Type="http://schemas.openxmlformats.org/officeDocument/2006/relationships/hyperlink" Target="https://siusa-archivi.cultura.gov.it/cgi-bin/siusa/pagina.pl?TipoPag=prodente&amp;Chiave=61703"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1178</Words>
  <Characters>6719</Characters>
  <Application>Microsoft Office Word</Application>
  <DocSecurity>0</DocSecurity>
  <Lines>55</Lines>
  <Paragraphs>15</Paragraphs>
  <ScaleCrop>false</ScaleCrop>
  <Company>HP</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2026-02-02T06:09:00Z</dcterms:created>
  <dcterms:modified xsi:type="dcterms:W3CDTF">2026-02-02T06:18:00Z</dcterms:modified>
</cp:coreProperties>
</file>