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43C4E" w14:textId="22CC2BE1" w:rsidR="0023764E" w:rsidRDefault="0023764E" w:rsidP="00FF1B02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XU182</w:t>
      </w:r>
      <w:r>
        <w:rPr>
          <w:rFonts w:cstheme="minorHAnsi"/>
          <w:b/>
          <w:color w:val="C00000"/>
          <w:sz w:val="44"/>
          <w:szCs w:val="44"/>
        </w:rPr>
        <w:t>7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1</w:t>
      </w:r>
      <w:r>
        <w:rPr>
          <w:rFonts w:cstheme="minorHAnsi"/>
          <w:bCs/>
          <w:i/>
          <w:iCs/>
          <w:sz w:val="16"/>
          <w:szCs w:val="16"/>
        </w:rPr>
        <w:t>5</w:t>
      </w:r>
      <w:r>
        <w:rPr>
          <w:rFonts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2EBA51FB" w14:textId="383D6088" w:rsidR="0023764E" w:rsidRDefault="0023764E" w:rsidP="00FF1B02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97721B"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17B4C584" w14:textId="055D19AB" w:rsidR="008779AE" w:rsidRDefault="008779AE" w:rsidP="00FF1B02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3E445C" wp14:editId="01B27A8E">
            <wp:extent cx="1908000" cy="2520000"/>
            <wp:effectExtent l="0" t="0" r="0" b="0"/>
            <wp:docPr id="105820155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9CBA8AF" wp14:editId="433FCD44">
            <wp:extent cx="1911600" cy="2520000"/>
            <wp:effectExtent l="0" t="0" r="0" b="0"/>
            <wp:docPr id="18945951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6838">
        <w:rPr>
          <w:b/>
          <w:bCs/>
          <w:noProof/>
        </w:rPr>
        <w:drawing>
          <wp:inline distT="0" distB="0" distL="0" distR="0" wp14:anchorId="37A966FF" wp14:editId="350BACC8">
            <wp:extent cx="1900800" cy="2520000"/>
            <wp:effectExtent l="0" t="0" r="4445" b="0"/>
            <wp:docPr id="85268839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37B57" w14:textId="3A6EE55C" w:rsidR="008779AE" w:rsidRPr="0097721B" w:rsidRDefault="008779AE" w:rsidP="00FF1B02">
      <w:pPr>
        <w:spacing w:after="0" w:line="240" w:lineRule="auto"/>
        <w:jc w:val="both"/>
        <w:rPr>
          <w:sz w:val="32"/>
          <w:szCs w:val="32"/>
        </w:rPr>
      </w:pPr>
      <w:r w:rsidRPr="0097721B">
        <w:rPr>
          <w:b/>
          <w:bCs/>
          <w:sz w:val="32"/>
          <w:szCs w:val="32"/>
        </w:rPr>
        <w:t>*</w:t>
      </w:r>
      <w:r w:rsidRPr="0097721B">
        <w:rPr>
          <w:b/>
          <w:bCs/>
          <w:sz w:val="32"/>
          <w:szCs w:val="32"/>
        </w:rPr>
        <w:t>Gazzetta urbana</w:t>
      </w:r>
      <w:r w:rsidRPr="0097721B">
        <w:rPr>
          <w:sz w:val="32"/>
          <w:szCs w:val="32"/>
        </w:rPr>
        <w:t xml:space="preserve">. – </w:t>
      </w:r>
      <w:r w:rsidRPr="0097721B">
        <w:rPr>
          <w:sz w:val="32"/>
          <w:szCs w:val="32"/>
        </w:rPr>
        <w:t xml:space="preserve">N. 1 (15 marzo </w:t>
      </w:r>
      <w:proofErr w:type="gramStart"/>
      <w:r w:rsidRPr="0097721B">
        <w:rPr>
          <w:sz w:val="32"/>
          <w:szCs w:val="32"/>
        </w:rPr>
        <w:t>1802)-</w:t>
      </w:r>
      <w:proofErr w:type="gramEnd"/>
      <w:r w:rsidR="00C76838" w:rsidRPr="0097721B">
        <w:rPr>
          <w:sz w:val="32"/>
          <w:szCs w:val="32"/>
        </w:rPr>
        <w:t xml:space="preserve">n. 21 (6 giugno 1803). - </w:t>
      </w:r>
      <w:proofErr w:type="gramStart"/>
      <w:r w:rsidRPr="0097721B">
        <w:rPr>
          <w:sz w:val="32"/>
          <w:szCs w:val="32"/>
        </w:rPr>
        <w:t>Corfù :</w:t>
      </w:r>
      <w:proofErr w:type="gramEnd"/>
      <w:r w:rsidRPr="0097721B">
        <w:rPr>
          <w:sz w:val="32"/>
          <w:szCs w:val="32"/>
        </w:rPr>
        <w:t xml:space="preserve"> </w:t>
      </w:r>
      <w:r w:rsidRPr="0097721B">
        <w:rPr>
          <w:sz w:val="32"/>
          <w:szCs w:val="32"/>
        </w:rPr>
        <w:t>Stamperia pubblica</w:t>
      </w:r>
      <w:r w:rsidRPr="0097721B">
        <w:rPr>
          <w:sz w:val="32"/>
          <w:szCs w:val="32"/>
        </w:rPr>
        <w:t>, 180</w:t>
      </w:r>
      <w:r w:rsidRPr="0097721B">
        <w:rPr>
          <w:sz w:val="32"/>
          <w:szCs w:val="32"/>
        </w:rPr>
        <w:t>2</w:t>
      </w:r>
      <w:r w:rsidRPr="0097721B">
        <w:rPr>
          <w:sz w:val="32"/>
          <w:szCs w:val="32"/>
        </w:rPr>
        <w:t>-180</w:t>
      </w:r>
      <w:r w:rsidRPr="0097721B">
        <w:rPr>
          <w:sz w:val="32"/>
          <w:szCs w:val="32"/>
        </w:rPr>
        <w:t>3</w:t>
      </w:r>
      <w:r w:rsidRPr="0097721B">
        <w:rPr>
          <w:sz w:val="32"/>
          <w:szCs w:val="32"/>
        </w:rPr>
        <w:t xml:space="preserve">. – </w:t>
      </w:r>
      <w:r w:rsidR="00C76838" w:rsidRPr="0097721B">
        <w:rPr>
          <w:sz w:val="32"/>
          <w:szCs w:val="32"/>
        </w:rPr>
        <w:t>65 fasc.</w:t>
      </w:r>
      <w:r w:rsidRPr="0097721B">
        <w:rPr>
          <w:sz w:val="32"/>
          <w:szCs w:val="32"/>
        </w:rPr>
        <w:t xml:space="preserve"> in 4°. ((Settimanale</w:t>
      </w:r>
    </w:p>
    <w:p w14:paraId="13DAD4E1" w14:textId="0BE01DE7" w:rsidR="008779AE" w:rsidRPr="0097721B" w:rsidRDefault="008779AE" w:rsidP="00FF1B02">
      <w:pPr>
        <w:spacing w:after="0" w:line="240" w:lineRule="auto"/>
        <w:jc w:val="both"/>
        <w:rPr>
          <w:sz w:val="32"/>
          <w:szCs w:val="32"/>
        </w:rPr>
      </w:pPr>
      <w:r w:rsidRPr="0097721B">
        <w:rPr>
          <w:b/>
          <w:bCs/>
          <w:color w:val="C00000"/>
          <w:sz w:val="32"/>
          <w:szCs w:val="32"/>
        </w:rPr>
        <w:t>Copia digitale</w:t>
      </w:r>
      <w:r w:rsidRPr="0097721B">
        <w:rPr>
          <w:sz w:val="32"/>
          <w:szCs w:val="32"/>
        </w:rPr>
        <w:t xml:space="preserve">: </w:t>
      </w:r>
      <w:hyperlink r:id="rId8" w:history="1">
        <w:r w:rsidRPr="0097721B">
          <w:rPr>
            <w:rStyle w:val="Collegamentoipertestuale"/>
            <w:sz w:val="32"/>
            <w:szCs w:val="32"/>
          </w:rPr>
          <w:t>n.1(</w:t>
        </w:r>
        <w:proofErr w:type="gramStart"/>
        <w:r w:rsidRPr="0097721B">
          <w:rPr>
            <w:rStyle w:val="Collegamentoipertestuale"/>
            <w:sz w:val="32"/>
            <w:szCs w:val="32"/>
          </w:rPr>
          <w:t>1802)-</w:t>
        </w:r>
        <w:proofErr w:type="gramEnd"/>
        <w:r w:rsidRPr="0097721B">
          <w:rPr>
            <w:rStyle w:val="Collegamentoipertestuale"/>
            <w:sz w:val="32"/>
            <w:szCs w:val="32"/>
          </w:rPr>
          <w:t>n.44(gennaio 1803)</w:t>
        </w:r>
      </w:hyperlink>
      <w:r w:rsidRPr="0097721B">
        <w:rPr>
          <w:sz w:val="32"/>
          <w:szCs w:val="32"/>
        </w:rPr>
        <w:t xml:space="preserve">; </w:t>
      </w:r>
      <w:hyperlink r:id="rId9" w:history="1">
        <w:r w:rsidRPr="0097721B">
          <w:rPr>
            <w:rStyle w:val="Collegamentoipertestuale"/>
            <w:sz w:val="32"/>
            <w:szCs w:val="32"/>
          </w:rPr>
          <w:t xml:space="preserve">n.1(gennaio </w:t>
        </w:r>
        <w:proofErr w:type="gramStart"/>
        <w:r w:rsidRPr="0097721B">
          <w:rPr>
            <w:rStyle w:val="Collegamentoipertestuale"/>
            <w:sz w:val="32"/>
            <w:szCs w:val="32"/>
          </w:rPr>
          <w:t>1803)-</w:t>
        </w:r>
        <w:proofErr w:type="gramEnd"/>
        <w:r w:rsidRPr="0097721B">
          <w:rPr>
            <w:rStyle w:val="Collegamentoipertestuale"/>
            <w:sz w:val="32"/>
            <w:szCs w:val="32"/>
          </w:rPr>
          <w:t>n.21(giugno 1803)</w:t>
        </w:r>
      </w:hyperlink>
    </w:p>
    <w:p w14:paraId="71647F18" w14:textId="084EDA85" w:rsidR="00FF1B02" w:rsidRPr="0097721B" w:rsidRDefault="00FF1B02" w:rsidP="00FF1B02">
      <w:pPr>
        <w:spacing w:after="0" w:line="240" w:lineRule="auto"/>
        <w:jc w:val="both"/>
        <w:rPr>
          <w:b/>
          <w:bCs/>
          <w:sz w:val="32"/>
          <w:szCs w:val="32"/>
        </w:rPr>
      </w:pPr>
    </w:p>
    <w:p w14:paraId="7B398737" w14:textId="5421CB66" w:rsidR="0023764E" w:rsidRPr="0097721B" w:rsidRDefault="00FF1B02" w:rsidP="00FF1B02">
      <w:pPr>
        <w:spacing w:after="0" w:line="240" w:lineRule="auto"/>
        <w:jc w:val="both"/>
        <w:rPr>
          <w:sz w:val="32"/>
          <w:szCs w:val="32"/>
        </w:rPr>
      </w:pPr>
      <w:r w:rsidRPr="0097721B">
        <w:rPr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CB6067E" wp14:editId="2DEE1DA3">
            <wp:simplePos x="0" y="0"/>
            <wp:positionH relativeFrom="column">
              <wp:posOffset>-64770</wp:posOffset>
            </wp:positionH>
            <wp:positionV relativeFrom="paragraph">
              <wp:posOffset>40640</wp:posOffset>
            </wp:positionV>
            <wp:extent cx="1828800" cy="2520000"/>
            <wp:effectExtent l="0" t="0" r="0" b="0"/>
            <wp:wrapSquare wrapText="bothSides"/>
            <wp:docPr id="17003911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9113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764E" w:rsidRPr="0097721B">
        <w:rPr>
          <w:b/>
          <w:bCs/>
          <w:sz w:val="32"/>
          <w:szCs w:val="32"/>
        </w:rPr>
        <w:t>*</w:t>
      </w:r>
      <w:r w:rsidR="0023764E" w:rsidRPr="0097721B">
        <w:rPr>
          <w:b/>
          <w:bCs/>
          <w:sz w:val="32"/>
          <w:szCs w:val="32"/>
        </w:rPr>
        <w:t xml:space="preserve">Monitore </w:t>
      </w:r>
      <w:proofErr w:type="spellStart"/>
      <w:r w:rsidR="0023764E" w:rsidRPr="0097721B">
        <w:rPr>
          <w:b/>
          <w:bCs/>
          <w:sz w:val="32"/>
          <w:szCs w:val="32"/>
        </w:rPr>
        <w:t>s</w:t>
      </w:r>
      <w:r w:rsidR="0023764E" w:rsidRPr="0097721B">
        <w:rPr>
          <w:b/>
          <w:bCs/>
          <w:sz w:val="32"/>
          <w:szCs w:val="32"/>
        </w:rPr>
        <w:t>ettinsulare</w:t>
      </w:r>
      <w:proofErr w:type="spellEnd"/>
      <w:r w:rsidR="0023764E" w:rsidRPr="0097721B">
        <w:rPr>
          <w:sz w:val="32"/>
          <w:szCs w:val="32"/>
        </w:rPr>
        <w:t xml:space="preserve">. – </w:t>
      </w:r>
      <w:r w:rsidR="00C76838" w:rsidRPr="0097721B">
        <w:rPr>
          <w:sz w:val="32"/>
          <w:szCs w:val="32"/>
        </w:rPr>
        <w:t xml:space="preserve">N. 1 (10 giugno </w:t>
      </w:r>
      <w:proofErr w:type="gramStart"/>
      <w:r w:rsidR="00C76838" w:rsidRPr="0097721B">
        <w:rPr>
          <w:sz w:val="32"/>
          <w:szCs w:val="32"/>
        </w:rPr>
        <w:t>1803)-</w:t>
      </w:r>
      <w:proofErr w:type="gramEnd"/>
      <w:r w:rsidR="00C76838" w:rsidRPr="0097721B">
        <w:rPr>
          <w:sz w:val="32"/>
          <w:szCs w:val="32"/>
        </w:rPr>
        <w:t xml:space="preserve">n. 22 (4-16 novembre 1805). - </w:t>
      </w:r>
      <w:proofErr w:type="gramStart"/>
      <w:r w:rsidR="0023764E" w:rsidRPr="0097721B">
        <w:rPr>
          <w:sz w:val="32"/>
          <w:szCs w:val="32"/>
        </w:rPr>
        <w:t>Corfù :</w:t>
      </w:r>
      <w:proofErr w:type="gramEnd"/>
      <w:r w:rsidR="0023764E" w:rsidRPr="0097721B">
        <w:rPr>
          <w:sz w:val="32"/>
          <w:szCs w:val="32"/>
        </w:rPr>
        <w:t xml:space="preserve"> [s.n.,</w:t>
      </w:r>
      <w:r w:rsidR="0023764E" w:rsidRPr="0097721B">
        <w:rPr>
          <w:sz w:val="32"/>
          <w:szCs w:val="32"/>
        </w:rPr>
        <w:t xml:space="preserve"> 1803-1805</w:t>
      </w:r>
      <w:r w:rsidR="0023764E" w:rsidRPr="0097721B">
        <w:rPr>
          <w:sz w:val="32"/>
          <w:szCs w:val="32"/>
        </w:rPr>
        <w:t xml:space="preserve">]. – 3 </w:t>
      </w:r>
      <w:proofErr w:type="gramStart"/>
      <w:r w:rsidR="0023764E" w:rsidRPr="0097721B">
        <w:rPr>
          <w:sz w:val="32"/>
          <w:szCs w:val="32"/>
        </w:rPr>
        <w:t xml:space="preserve">volumi </w:t>
      </w:r>
      <w:r w:rsidR="00C76838" w:rsidRPr="0097721B">
        <w:rPr>
          <w:sz w:val="32"/>
          <w:szCs w:val="32"/>
        </w:rPr>
        <w:t>;</w:t>
      </w:r>
      <w:proofErr w:type="gramEnd"/>
      <w:r w:rsidR="00C76838" w:rsidRPr="0097721B">
        <w:rPr>
          <w:sz w:val="32"/>
          <w:szCs w:val="32"/>
        </w:rPr>
        <w:t xml:space="preserve"> 38 cm</w:t>
      </w:r>
      <w:r w:rsidR="0023764E" w:rsidRPr="0097721B">
        <w:rPr>
          <w:sz w:val="32"/>
          <w:szCs w:val="32"/>
        </w:rPr>
        <w:t>. ((Settimanale</w:t>
      </w:r>
    </w:p>
    <w:p w14:paraId="746DF01F" w14:textId="201D72E7" w:rsidR="0023764E" w:rsidRPr="0097721B" w:rsidRDefault="0023764E" w:rsidP="00FF1B02">
      <w:pPr>
        <w:spacing w:after="0" w:line="240" w:lineRule="auto"/>
        <w:jc w:val="both"/>
        <w:rPr>
          <w:sz w:val="32"/>
          <w:szCs w:val="32"/>
        </w:rPr>
      </w:pPr>
      <w:r w:rsidRPr="0097721B">
        <w:rPr>
          <w:b/>
          <w:bCs/>
          <w:color w:val="C00000"/>
          <w:sz w:val="32"/>
          <w:szCs w:val="32"/>
        </w:rPr>
        <w:t>Copia digitale</w:t>
      </w:r>
      <w:r w:rsidRPr="0097721B">
        <w:rPr>
          <w:sz w:val="32"/>
          <w:szCs w:val="32"/>
        </w:rPr>
        <w:t xml:space="preserve">: </w:t>
      </w:r>
      <w:hyperlink r:id="rId11" w:history="1">
        <w:r w:rsidRPr="0097721B">
          <w:rPr>
            <w:rStyle w:val="Collegamentoipertestuale"/>
            <w:sz w:val="32"/>
            <w:szCs w:val="32"/>
          </w:rPr>
          <w:t>n.28(12 gennaio 1804)</w:t>
        </w:r>
      </w:hyperlink>
    </w:p>
    <w:p w14:paraId="42C8EA44" w14:textId="77777777" w:rsidR="00FF1B02" w:rsidRPr="0097721B" w:rsidRDefault="00FF1B02" w:rsidP="00FF1B02">
      <w:pPr>
        <w:spacing w:after="0" w:line="240" w:lineRule="auto"/>
        <w:jc w:val="both"/>
        <w:rPr>
          <w:sz w:val="32"/>
          <w:szCs w:val="32"/>
        </w:rPr>
      </w:pPr>
    </w:p>
    <w:p w14:paraId="4873EE63" w14:textId="24E489AB" w:rsidR="00FF1B02" w:rsidRPr="0097721B" w:rsidRDefault="00FF1B02" w:rsidP="00FF1B02">
      <w:pPr>
        <w:spacing w:after="0" w:line="240" w:lineRule="auto"/>
        <w:jc w:val="both"/>
        <w:rPr>
          <w:sz w:val="32"/>
          <w:szCs w:val="32"/>
        </w:rPr>
      </w:pPr>
      <w:r w:rsidRPr="0097721B">
        <w:rPr>
          <w:sz w:val="32"/>
          <w:szCs w:val="32"/>
        </w:rPr>
        <w:t xml:space="preserve">Soggetto: </w:t>
      </w:r>
      <w:r w:rsidRPr="0097721B">
        <w:rPr>
          <w:sz w:val="32"/>
          <w:szCs w:val="32"/>
        </w:rPr>
        <w:t xml:space="preserve">Repubblica </w:t>
      </w:r>
      <w:proofErr w:type="spellStart"/>
      <w:r w:rsidRPr="0097721B">
        <w:rPr>
          <w:sz w:val="32"/>
          <w:szCs w:val="32"/>
        </w:rPr>
        <w:t>Settinsulare</w:t>
      </w:r>
      <w:proofErr w:type="spellEnd"/>
      <w:r w:rsidRPr="0097721B">
        <w:rPr>
          <w:sz w:val="32"/>
          <w:szCs w:val="32"/>
        </w:rPr>
        <w:t xml:space="preserve"> – 1802-1805</w:t>
      </w:r>
    </w:p>
    <w:p w14:paraId="137FEE85" w14:textId="77777777" w:rsidR="00FF1B02" w:rsidRPr="00FF1B02" w:rsidRDefault="00FF1B02" w:rsidP="00FF1B02">
      <w:pPr>
        <w:spacing w:after="0" w:line="240" w:lineRule="auto"/>
        <w:jc w:val="both"/>
      </w:pPr>
    </w:p>
    <w:p w14:paraId="0022FCA8" w14:textId="71C49D74" w:rsidR="0023764E" w:rsidRPr="0023764E" w:rsidRDefault="0023764E" w:rsidP="00FF1B0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23764E">
        <w:rPr>
          <w:b/>
          <w:bCs/>
          <w:color w:val="C00000"/>
          <w:sz w:val="44"/>
          <w:szCs w:val="44"/>
        </w:rPr>
        <w:t>Informazioni storico-bibliografiche</w:t>
      </w:r>
    </w:p>
    <w:p w14:paraId="6905486E" w14:textId="406D69BB" w:rsidR="0023764E" w:rsidRPr="0097721B" w:rsidRDefault="008779AE" w:rsidP="00FF1B02">
      <w:pPr>
        <w:spacing w:after="0" w:line="240" w:lineRule="auto"/>
        <w:jc w:val="both"/>
        <w:rPr>
          <w:i/>
          <w:iCs/>
          <w:sz w:val="24"/>
          <w:szCs w:val="24"/>
        </w:rPr>
      </w:pPr>
      <w:r w:rsidRPr="0097721B">
        <w:rPr>
          <w:sz w:val="24"/>
          <w:szCs w:val="24"/>
        </w:rPr>
        <w:t xml:space="preserve">La </w:t>
      </w:r>
      <w:r w:rsidRPr="0097721B">
        <w:rPr>
          <w:b/>
          <w:bCs/>
          <w:sz w:val="24"/>
          <w:szCs w:val="24"/>
        </w:rPr>
        <w:t>Gazzetta Urbana di Corfù</w:t>
      </w:r>
      <w:r w:rsidRPr="0097721B">
        <w:rPr>
          <w:sz w:val="24"/>
          <w:szCs w:val="24"/>
        </w:rPr>
        <w:t xml:space="preserve"> è stato il primo giornale stampato nella Repubblica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 (Isole Ionie), pubblicato tra il 1802 e il 1803. Nata presso la Stamperia Pubblica di Corfù, fu un importante organo di informazione e culturale del periodo, promosso anche grazie al coinvolgimento di figure storiche come </w:t>
      </w:r>
      <w:hyperlink r:id="rId12" w:tgtFrame="_blank" w:history="1">
        <w:r w:rsidRPr="0097721B">
          <w:rPr>
            <w:rStyle w:val="Collegamentoipertestuale"/>
            <w:sz w:val="24"/>
            <w:szCs w:val="24"/>
          </w:rPr>
          <w:t>Mario Pieri</w:t>
        </w:r>
      </w:hyperlink>
      <w:r w:rsidRPr="0097721B">
        <w:rPr>
          <w:sz w:val="24"/>
          <w:szCs w:val="24"/>
        </w:rPr>
        <w:t xml:space="preserve"> e Andreas Moustoxidis</w:t>
      </w:r>
      <w:r w:rsidR="0023764E" w:rsidRPr="0097721B">
        <w:rPr>
          <w:sz w:val="24"/>
          <w:szCs w:val="24"/>
        </w:rPr>
        <w:t xml:space="preserve">Scheda della storica gazzetta "Monitore </w:t>
      </w:r>
      <w:proofErr w:type="spellStart"/>
      <w:r w:rsidR="0023764E" w:rsidRPr="0097721B">
        <w:rPr>
          <w:sz w:val="24"/>
          <w:szCs w:val="24"/>
        </w:rPr>
        <w:t>Settinsulare</w:t>
      </w:r>
      <w:proofErr w:type="spellEnd"/>
      <w:r w:rsidR="0023764E" w:rsidRPr="0097721B">
        <w:rPr>
          <w:sz w:val="24"/>
          <w:szCs w:val="24"/>
        </w:rPr>
        <w:t>”, pubblicata a Corfù tra il 1803 e il 1805.</w:t>
      </w:r>
      <w:r w:rsidRPr="0097721B">
        <w:rPr>
          <w:sz w:val="24"/>
          <w:szCs w:val="24"/>
        </w:rPr>
        <w:t xml:space="preserve"> </w:t>
      </w:r>
      <w:r w:rsidRPr="0097721B">
        <w:rPr>
          <w:i/>
          <w:iCs/>
          <w:sz w:val="24"/>
          <w:szCs w:val="24"/>
        </w:rPr>
        <w:t xml:space="preserve">AI </w:t>
      </w:r>
      <w:proofErr w:type="spellStart"/>
      <w:r w:rsidRPr="0097721B">
        <w:rPr>
          <w:i/>
          <w:iCs/>
          <w:sz w:val="24"/>
          <w:szCs w:val="24"/>
        </w:rPr>
        <w:t>Overview</w:t>
      </w:r>
      <w:proofErr w:type="spellEnd"/>
    </w:p>
    <w:p w14:paraId="0755386E" w14:textId="77777777" w:rsidR="00FF1B02" w:rsidRPr="0097721B" w:rsidRDefault="00FF1B02" w:rsidP="00FF1B02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85672BD" w14:textId="1CCE21B4" w:rsidR="0023764E" w:rsidRPr="0097721B" w:rsidRDefault="008779AE" w:rsidP="00FF1B02">
      <w:pPr>
        <w:spacing w:after="0" w:line="240" w:lineRule="auto"/>
        <w:jc w:val="both"/>
        <w:rPr>
          <w:sz w:val="24"/>
          <w:szCs w:val="24"/>
        </w:rPr>
      </w:pPr>
      <w:r w:rsidRPr="0097721B">
        <w:rPr>
          <w:b/>
          <w:bCs/>
          <w:sz w:val="24"/>
          <w:szCs w:val="24"/>
        </w:rPr>
        <w:t xml:space="preserve">Monitore </w:t>
      </w:r>
      <w:proofErr w:type="spellStart"/>
      <w:r w:rsidRPr="0097721B">
        <w:rPr>
          <w:b/>
          <w:bCs/>
          <w:sz w:val="24"/>
          <w:szCs w:val="24"/>
        </w:rPr>
        <w:t>settinsulare</w:t>
      </w:r>
      <w:proofErr w:type="spellEnd"/>
      <w:r w:rsidR="00FF1B02" w:rsidRPr="0097721B">
        <w:rPr>
          <w:b/>
          <w:bCs/>
          <w:sz w:val="24"/>
          <w:szCs w:val="24"/>
        </w:rPr>
        <w:t xml:space="preserve">. </w:t>
      </w:r>
      <w:r w:rsidR="0023764E" w:rsidRPr="0097721B">
        <w:rPr>
          <w:sz w:val="24"/>
          <w:szCs w:val="24"/>
        </w:rPr>
        <w:t xml:space="preserve">Dopo la caduta della Repubblica di Venezia nel 1797, le isole ioniche furono cedute alla Francia; già nel 1799 tuttavia una flotta congiunta russo-ottomana le conquistò, favorendo la nascita di uno Stato autonomo, la "Repubblica </w:t>
      </w:r>
      <w:proofErr w:type="spellStart"/>
      <w:r w:rsidR="0023764E" w:rsidRPr="0097721B">
        <w:rPr>
          <w:sz w:val="24"/>
          <w:szCs w:val="24"/>
        </w:rPr>
        <w:t>Settinsulare</w:t>
      </w:r>
      <w:proofErr w:type="spellEnd"/>
      <w:r w:rsidR="0023764E" w:rsidRPr="0097721B">
        <w:rPr>
          <w:sz w:val="24"/>
          <w:szCs w:val="24"/>
        </w:rPr>
        <w:t xml:space="preserve">", che riprese nel proprio simbolo il Leone di San Marco e sopravvisse fino al 1807. In questo contesto politico nacque il "Monitore </w:t>
      </w:r>
      <w:proofErr w:type="spellStart"/>
      <w:r w:rsidR="0023764E" w:rsidRPr="0097721B">
        <w:rPr>
          <w:sz w:val="24"/>
          <w:szCs w:val="24"/>
        </w:rPr>
        <w:t>Settinsulare</w:t>
      </w:r>
      <w:proofErr w:type="spellEnd"/>
      <w:r w:rsidR="0023764E" w:rsidRPr="0097721B">
        <w:rPr>
          <w:sz w:val="24"/>
          <w:szCs w:val="24"/>
        </w:rPr>
        <w:t xml:space="preserve">", pubblicato a Corfù dal 1803 al 1805 come foglio settimanale </w:t>
      </w:r>
      <w:r w:rsidR="0023764E" w:rsidRPr="0097721B">
        <w:rPr>
          <w:sz w:val="24"/>
          <w:szCs w:val="24"/>
        </w:rPr>
        <w:lastRenderedPageBreak/>
        <w:t>di carattere governativo, destinato a diffondere nelle isole i provvedimenti dell’amministrazione e notizie selezionate dall’estero, e a prendere il posto della "Gazzetta Urbana", la cui pubblicazione cessò con la creazione del nuovo foglio.</w:t>
      </w:r>
      <w:r w:rsidR="00FF1B02" w:rsidRPr="0097721B">
        <w:rPr>
          <w:sz w:val="24"/>
          <w:szCs w:val="24"/>
        </w:rPr>
        <w:t xml:space="preserve"> </w:t>
      </w:r>
      <w:r w:rsidR="0023764E" w:rsidRPr="0097721B">
        <w:rPr>
          <w:sz w:val="24"/>
          <w:szCs w:val="24"/>
        </w:rPr>
        <w:t xml:space="preserve">Stampata nella tipografia statale e redatta in lingua italiana, la gazzetta usciva in formato in-quarto, su quattro pagine a due colonne, con una vignetta raffigurante Hermes in frontespizio recante una tromba e la bandiera della Repubblica </w:t>
      </w:r>
      <w:proofErr w:type="spellStart"/>
      <w:r w:rsidR="0023764E" w:rsidRPr="0097721B">
        <w:rPr>
          <w:sz w:val="24"/>
          <w:szCs w:val="24"/>
        </w:rPr>
        <w:t>Settinsulare</w:t>
      </w:r>
      <w:proofErr w:type="spellEnd"/>
      <w:r w:rsidR="0023764E" w:rsidRPr="0097721B">
        <w:rPr>
          <w:sz w:val="24"/>
          <w:szCs w:val="24"/>
        </w:rPr>
        <w:t xml:space="preserve">. Le notizie interne comprendevano deliberazioni del Senato, atti ufficiali, discorsi e cronache politiche, oltre ai movimenti delle truppe e alle attività delle autorità della Repubblica; quelle estere provenivano soprattutto dalla stampa europea e privilegiavano l’attualità politica e militare. Pur inserito nel quadro istituzionale della Repubblica </w:t>
      </w:r>
      <w:proofErr w:type="spellStart"/>
      <w:r w:rsidR="0023764E" w:rsidRPr="0097721B">
        <w:rPr>
          <w:sz w:val="24"/>
          <w:szCs w:val="24"/>
        </w:rPr>
        <w:t>Settinsulare</w:t>
      </w:r>
      <w:proofErr w:type="spellEnd"/>
      <w:r w:rsidR="0023764E" w:rsidRPr="0097721B">
        <w:rPr>
          <w:sz w:val="24"/>
          <w:szCs w:val="24"/>
        </w:rPr>
        <w:t>, il foglio rifletteva le tensioni culturali e linguistiche dell’epoca, quando l’italiano restava lingua amministrativa e giornalistica mentre cresceva il dibattito sull’uso del greco. La diffusione era limitata.</w:t>
      </w:r>
    </w:p>
    <w:p w14:paraId="647ADD94" w14:textId="1378FA3D" w:rsidR="0023764E" w:rsidRPr="0097721B" w:rsidRDefault="0023764E" w:rsidP="00FF1B02">
      <w:pPr>
        <w:tabs>
          <w:tab w:val="num" w:pos="720"/>
        </w:tabs>
        <w:spacing w:after="0" w:line="240" w:lineRule="auto"/>
        <w:jc w:val="both"/>
        <w:rPr>
          <w:sz w:val="24"/>
          <w:szCs w:val="24"/>
        </w:rPr>
      </w:pPr>
      <w:r w:rsidRPr="0097721B">
        <w:rPr>
          <w:b/>
          <w:bCs/>
          <w:sz w:val="24"/>
          <w:szCs w:val="24"/>
        </w:rPr>
        <w:t>Numeri disponibili online su questo sito:</w:t>
      </w:r>
      <w:r w:rsidR="00FF1B02" w:rsidRPr="0097721B">
        <w:rPr>
          <w:b/>
          <w:bCs/>
          <w:sz w:val="24"/>
          <w:szCs w:val="24"/>
        </w:rPr>
        <w:t xml:space="preserve"> </w:t>
      </w:r>
      <w:r w:rsidRPr="0097721B">
        <w:rPr>
          <w:sz w:val="24"/>
          <w:szCs w:val="24"/>
        </w:rPr>
        <w:t>Totale: 1, così distribuiti: 1804: 1 numero</w:t>
      </w:r>
    </w:p>
    <w:p w14:paraId="0C09F7D3" w14:textId="3FCFCFE4" w:rsidR="0031062F" w:rsidRPr="0097721B" w:rsidRDefault="0023764E" w:rsidP="00FF1B02">
      <w:pPr>
        <w:spacing w:after="0" w:line="240" w:lineRule="auto"/>
        <w:jc w:val="both"/>
        <w:rPr>
          <w:sz w:val="24"/>
          <w:szCs w:val="24"/>
        </w:rPr>
      </w:pPr>
      <w:r w:rsidRPr="0097721B">
        <w:rPr>
          <w:sz w:val="24"/>
          <w:szCs w:val="24"/>
        </w:rPr>
        <w:t xml:space="preserve">I numeri online disponibili su questo sito sono consultabili tramite l’albero cronologico accessibile da </w:t>
      </w:r>
      <w:r w:rsidRPr="0097721B">
        <w:rPr>
          <w:i/>
          <w:iCs/>
          <w:sz w:val="24"/>
          <w:szCs w:val="24"/>
        </w:rPr>
        <w:t>Sfoglia gazzetta</w:t>
      </w:r>
      <w:r w:rsidRPr="0097721B">
        <w:rPr>
          <w:sz w:val="24"/>
          <w:szCs w:val="24"/>
        </w:rPr>
        <w:t>:</w:t>
      </w:r>
      <w:r w:rsidR="00FF1B02" w:rsidRPr="0097721B">
        <w:rPr>
          <w:sz w:val="24"/>
          <w:szCs w:val="24"/>
        </w:rPr>
        <w:t xml:space="preserve"> </w:t>
      </w:r>
      <w:hyperlink r:id="rId13" w:history="1">
        <w:r w:rsidRPr="0097721B">
          <w:rPr>
            <w:rStyle w:val="Collegamentoipertestuale"/>
            <w:sz w:val="24"/>
            <w:szCs w:val="24"/>
          </w:rPr>
          <w:t>https://www.gazzetteeavvisi.co</w:t>
        </w:r>
        <w:r w:rsidRPr="0097721B">
          <w:rPr>
            <w:rStyle w:val="Collegamentoipertestuale"/>
            <w:sz w:val="24"/>
            <w:szCs w:val="24"/>
          </w:rPr>
          <w:t>m/gazzetta/892.html</w:t>
        </w:r>
      </w:hyperlink>
      <w:r w:rsidRPr="0097721B">
        <w:rPr>
          <w:sz w:val="24"/>
          <w:szCs w:val="24"/>
        </w:rPr>
        <w:t xml:space="preserve">. </w:t>
      </w:r>
    </w:p>
    <w:p w14:paraId="3B9343D0" w14:textId="77777777" w:rsidR="00C76838" w:rsidRPr="0097721B" w:rsidRDefault="00C76838" w:rsidP="00FF1B02">
      <w:pPr>
        <w:spacing w:after="0" w:line="240" w:lineRule="auto"/>
        <w:jc w:val="both"/>
        <w:rPr>
          <w:sz w:val="24"/>
          <w:szCs w:val="24"/>
        </w:rPr>
      </w:pPr>
    </w:p>
    <w:p w14:paraId="00674A8A" w14:textId="1D0257CC" w:rsidR="00C76838" w:rsidRPr="0097721B" w:rsidRDefault="00C76838" w:rsidP="00FF1B02">
      <w:pPr>
        <w:spacing w:after="0" w:line="240" w:lineRule="auto"/>
        <w:jc w:val="both"/>
        <w:rPr>
          <w:sz w:val="24"/>
          <w:szCs w:val="24"/>
        </w:rPr>
      </w:pPr>
      <w:r w:rsidRPr="0097721B">
        <w:rPr>
          <w:sz w:val="24"/>
          <w:szCs w:val="24"/>
        </w:rPr>
        <w:t xml:space="preserve">Monitore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 è stato il secondo giornale pubblicato nello stato federale dei greci ionici (Gazzetta Urbana è stato il primo). Praticamente è stato il primo pubblicato dallo Stato stesso ed è per questo che viene chiamato “ufficiale in un certo modo”. Poiché non esisteva un modo costituzionale o altro per proteggere la stampa, il fatto che la pubblicazione del secondo fosse il motivo per fermare la pubblicazione della Gazzetta Urbana non è casuale. Si può aggiungere che il proprietario della Gazzetta Urbana era Dionysios Sarantopoulos, il locatario della tipografia di stato (Marios Pieris e Andreas Moustoxydis erano i redattori). Fino ad oggi c'erano riferimenti a Monitore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>. Come, non c'era un quadro chiaro di esso, perché nessuna serie completa di esso era disponibile e anche le informazioni di esso estremamente raro, un vero e proprio oggetto di desiderio per i collezionisti. Anche le b</w:t>
      </w:r>
      <w:r w:rsidRPr="0097721B">
        <w:rPr>
          <w:sz w:val="24"/>
          <w:szCs w:val="24"/>
        </w:rPr>
        <w:t>i</w:t>
      </w:r>
      <w:r w:rsidRPr="0097721B">
        <w:rPr>
          <w:sz w:val="24"/>
          <w:szCs w:val="24"/>
        </w:rPr>
        <w:t xml:space="preserve">bliografie ben note non hanno riferimenti ad essa. E quando il direttore si aspettava che l'indagine </w:t>
      </w:r>
      <w:proofErr w:type="spellStart"/>
      <w:r w:rsidRPr="0097721B">
        <w:rPr>
          <w:sz w:val="24"/>
          <w:szCs w:val="24"/>
        </w:rPr>
        <w:t>dasse</w:t>
      </w:r>
      <w:proofErr w:type="spellEnd"/>
      <w:r w:rsidRPr="0097721B">
        <w:rPr>
          <w:sz w:val="24"/>
          <w:szCs w:val="24"/>
        </w:rPr>
        <w:t xml:space="preserve"> frutti a Corfù, il luogo della stampa, l'unico corpus conosciuto del giornale sopravvisse a Zante, contro la fobia e i saccheggi, nella biblioteca dei conti famiglia Lunzis. Questo avvenne perché </w:t>
      </w:r>
      <w:proofErr w:type="spellStart"/>
      <w:r w:rsidRPr="0097721B">
        <w:rPr>
          <w:sz w:val="24"/>
          <w:szCs w:val="24"/>
        </w:rPr>
        <w:t>Hermannos</w:t>
      </w:r>
      <w:proofErr w:type="spellEnd"/>
      <w:r w:rsidRPr="0097721B">
        <w:rPr>
          <w:sz w:val="24"/>
          <w:szCs w:val="24"/>
        </w:rPr>
        <w:t xml:space="preserve"> conte Lunzis (1806-1868) acquistò il giornale per poterlo utilizzare come fonte per la sua opera Della Repubblica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. Il giornale è stato pubblicato settimanalmente, è stato scritto in italiano ed è stato stampato su carta pesante, potrei, in due colonne, in formato quarto, in quattro pagine, di dimensioni 38 X 24,5 cm. In mezzo al frontespizio c'era una figura di Hermes che teneva nella mano sinistra una cometa e alla sua destra una bandiera della </w:t>
      </w:r>
      <w:proofErr w:type="spellStart"/>
      <w:r w:rsidRPr="0097721B">
        <w:rPr>
          <w:sz w:val="24"/>
          <w:szCs w:val="24"/>
        </w:rPr>
        <w:t>Republica</w:t>
      </w:r>
      <w:proofErr w:type="spellEnd"/>
      <w:r w:rsidRPr="0097721B">
        <w:rPr>
          <w:sz w:val="24"/>
          <w:szCs w:val="24"/>
        </w:rPr>
        <w:t xml:space="preserve">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. La ragione di questa figura era quella di collegare il presente della Repubblica con il Passato Ellenico e la Comprensione del Monitor italiano con il </w:t>
      </w:r>
      <w:proofErr w:type="spellStart"/>
      <w:r w:rsidRPr="0097721B">
        <w:rPr>
          <w:sz w:val="24"/>
          <w:szCs w:val="24"/>
        </w:rPr>
        <w:t>Newsman</w:t>
      </w:r>
      <w:proofErr w:type="spellEnd"/>
      <w:r w:rsidRPr="0097721B">
        <w:rPr>
          <w:sz w:val="24"/>
          <w:szCs w:val="24"/>
        </w:rPr>
        <w:t xml:space="preserve"> ellenico - Messenger. Hermes divide il titolo REPUBBLICA SETTINSUL (ARE) e il numero di raso, che è in linee decorative. È sopra il titolo, che è murato del luogo e della data di pubblicazione (nelle prime numeriche solo nel calendario giuliano - vecchio, nel seguito anche nel gregoriano - nuovo). La numerazione della pagina è sulla destra top </w:t>
      </w:r>
      <w:proofErr w:type="spellStart"/>
      <w:r w:rsidRPr="0097721B">
        <w:rPr>
          <w:sz w:val="24"/>
          <w:szCs w:val="24"/>
        </w:rPr>
        <w:t>comer</w:t>
      </w:r>
      <w:proofErr w:type="spellEnd"/>
      <w:r w:rsidRPr="0097721B">
        <w:rPr>
          <w:sz w:val="24"/>
          <w:szCs w:val="24"/>
        </w:rPr>
        <w:t xml:space="preserve"> in numeri arabi. Monitore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 (1803 - 1805) - Il giornale difficile da trovare dello Stato Ionio 157 Le maggiori differenziazioni sono: 1. 1. Dimensioni: tre numeri sono stati stampati in 36,5 x 24,5 cm, uno in 36 X 23 cm e due in 32,5 X 23,5 cm. 2. 2. Titolo: in quattro casi le linee decorative vengono cancellate o il luogo e il tempo della posizione di cambiamento di stampa. 3. 3. Numerazione di problemi e pagine: la numerazione latina è tenuta dal numero 1 (10 giugno 18003) pag. 1 fino al numero 80 (dic. 31,1803 / 12 gennaio 1804) p. 317-320 e poi continua in numeri arabi fino all'ultimo numero, numero 1 (gen. 5/13, 1804), pag. 1 fino al numero 22 (nov. 4/16.1805), pp. 85-88. Il linguaggio </w:t>
      </w:r>
      <w:r w:rsidRPr="0097721B">
        <w:rPr>
          <w:sz w:val="24"/>
          <w:szCs w:val="24"/>
        </w:rPr>
        <w:lastRenderedPageBreak/>
        <w:t xml:space="preserve">usato sul giornale è l’italiano, un fatto che può essere utilizzato dalle bibliografie greche per ometterlo. In questo breve documento non c’è spazio per lunghi argomenti. Come, si ricorda che la lingua greca </w:t>
      </w:r>
      <w:proofErr w:type="gramStart"/>
      <w:r w:rsidRPr="0097721B">
        <w:rPr>
          <w:sz w:val="24"/>
          <w:szCs w:val="24"/>
        </w:rPr>
        <w:t>in l'inizio</w:t>
      </w:r>
      <w:proofErr w:type="gramEnd"/>
      <w:r w:rsidRPr="0097721B">
        <w:rPr>
          <w:sz w:val="24"/>
          <w:szCs w:val="24"/>
        </w:rPr>
        <w:t xml:space="preserve"> del </w:t>
      </w:r>
      <w:proofErr w:type="gramStart"/>
      <w:r w:rsidRPr="0097721B">
        <w:rPr>
          <w:sz w:val="24"/>
          <w:szCs w:val="24"/>
        </w:rPr>
        <w:t>19^</w:t>
      </w:r>
      <w:proofErr w:type="gramEnd"/>
      <w:r w:rsidRPr="0097721B">
        <w:rPr>
          <w:sz w:val="24"/>
          <w:szCs w:val="24"/>
        </w:rPr>
        <w:t xml:space="preserve"> ce., utilizzato dall'elemento ellenico delle isole, è stato lasciato incolto, in contrasto con l'italiano, che veniva posto su di loro tra chi aveva accesso a un diario o giornale a. Il problema era ben noto e tortura per gli studiosi greci, ed è stato sperimentato dopo 20 anni di educazione ellenica da Andreas Kalvos, che ha chiesto una soluzione del problema della terminologia inesistente. Il giornale è una notizia interna ed esterna. Tra gli interni ci sono legislazioni del governo o del Senato, discorsi ufficiali e notizie politiche, così come </w:t>
      </w:r>
      <w:proofErr w:type="gramStart"/>
      <w:r w:rsidRPr="0097721B">
        <w:rPr>
          <w:sz w:val="24"/>
          <w:szCs w:val="24"/>
        </w:rPr>
        <w:t>le del</w:t>
      </w:r>
      <w:proofErr w:type="gramEnd"/>
      <w:r w:rsidRPr="0097721B">
        <w:rPr>
          <w:sz w:val="24"/>
          <w:szCs w:val="24"/>
        </w:rPr>
        <w:t xml:space="preserve"> ministro </w:t>
      </w:r>
      <w:proofErr w:type="spellStart"/>
      <w:r w:rsidRPr="0097721B">
        <w:rPr>
          <w:sz w:val="24"/>
          <w:szCs w:val="24"/>
        </w:rPr>
        <w:t>Plenipotenzialitario</w:t>
      </w:r>
      <w:proofErr w:type="spellEnd"/>
      <w:r w:rsidRPr="0097721B">
        <w:rPr>
          <w:sz w:val="24"/>
          <w:szCs w:val="24"/>
        </w:rPr>
        <w:t xml:space="preserve"> dello zar George Mocenigo (che fungeva da commissario) e della Repubblica e dei russi. Le notizie esterne erano di aggiunta di notizie civili o militari da giornali o diari del vecchio e nuovo mondo. Il giornale presenta le notizie attuali come le attività del principe presidente Antonios conte </w:t>
      </w:r>
      <w:proofErr w:type="spellStart"/>
      <w:r w:rsidRPr="0097721B">
        <w:rPr>
          <w:sz w:val="24"/>
          <w:szCs w:val="24"/>
        </w:rPr>
        <w:t>Comutos</w:t>
      </w:r>
      <w:proofErr w:type="spellEnd"/>
      <w:r w:rsidRPr="0097721B">
        <w:rPr>
          <w:sz w:val="24"/>
          <w:szCs w:val="24"/>
        </w:rPr>
        <w:t xml:space="preserve"> o il senatore Dionysios contano i rom, così come le corrispondenze di altre attività politiche. Di maggiore interesse sono le legislazioni del Governo, le attività di politici come Mocenigo, </w:t>
      </w:r>
      <w:proofErr w:type="spellStart"/>
      <w:r w:rsidRPr="0097721B">
        <w:rPr>
          <w:sz w:val="24"/>
          <w:szCs w:val="24"/>
        </w:rPr>
        <w:t>Kapodistria</w:t>
      </w:r>
      <w:proofErr w:type="spellEnd"/>
      <w:r w:rsidRPr="0097721B">
        <w:rPr>
          <w:sz w:val="24"/>
          <w:szCs w:val="24"/>
        </w:rPr>
        <w:t xml:space="preserve"> e </w:t>
      </w:r>
      <w:proofErr w:type="spellStart"/>
      <w:r w:rsidRPr="0097721B">
        <w:rPr>
          <w:sz w:val="24"/>
          <w:szCs w:val="24"/>
        </w:rPr>
        <w:t>Theotokis</w:t>
      </w:r>
      <w:proofErr w:type="spellEnd"/>
      <w:r w:rsidRPr="0097721B">
        <w:rPr>
          <w:sz w:val="24"/>
          <w:szCs w:val="24"/>
        </w:rPr>
        <w:t xml:space="preserve">, il combattimento di </w:t>
      </w:r>
      <w:proofErr w:type="spellStart"/>
      <w:r w:rsidRPr="0097721B">
        <w:rPr>
          <w:sz w:val="24"/>
          <w:szCs w:val="24"/>
        </w:rPr>
        <w:t>Souliotes</w:t>
      </w:r>
      <w:proofErr w:type="spellEnd"/>
      <w:r w:rsidRPr="0097721B">
        <w:rPr>
          <w:sz w:val="24"/>
          <w:szCs w:val="24"/>
        </w:rPr>
        <w:t xml:space="preserve"> contro Ali Pasha, e l'avvicinarsi di eventi ben noti da parte della stampa europea. Oltre all'</w:t>
      </w:r>
      <w:proofErr w:type="spellStart"/>
      <w:r w:rsidRPr="0097721B">
        <w:rPr>
          <w:sz w:val="24"/>
          <w:szCs w:val="24"/>
        </w:rPr>
        <w:t>olusto</w:t>
      </w:r>
      <w:proofErr w:type="spellEnd"/>
      <w:r w:rsidRPr="0097721B">
        <w:rPr>
          <w:sz w:val="24"/>
          <w:szCs w:val="24"/>
        </w:rPr>
        <w:t xml:space="preserve"> c'è anche la cosiddetta storia, come la presentazione al Principe Presidente dell'ambasciatore spagnolo Lorenzo y Mabilli, nonno dell'eroe </w:t>
      </w:r>
      <w:proofErr w:type="spellStart"/>
      <w:r w:rsidRPr="0097721B">
        <w:rPr>
          <w:sz w:val="24"/>
          <w:szCs w:val="24"/>
        </w:rPr>
        <w:t>garbialdene</w:t>
      </w:r>
      <w:proofErr w:type="spellEnd"/>
      <w:r w:rsidRPr="0097721B">
        <w:rPr>
          <w:sz w:val="24"/>
          <w:szCs w:val="24"/>
        </w:rPr>
        <w:t xml:space="preserve"> di </w:t>
      </w:r>
      <w:proofErr w:type="spellStart"/>
      <w:r w:rsidRPr="0097721B">
        <w:rPr>
          <w:sz w:val="24"/>
          <w:szCs w:val="24"/>
        </w:rPr>
        <w:t>Driskos</w:t>
      </w:r>
      <w:proofErr w:type="spellEnd"/>
      <w:r w:rsidRPr="0097721B">
        <w:rPr>
          <w:sz w:val="24"/>
          <w:szCs w:val="24"/>
        </w:rPr>
        <w:t xml:space="preserve">, il poeta </w:t>
      </w:r>
      <w:proofErr w:type="spellStart"/>
      <w:r w:rsidRPr="0097721B">
        <w:rPr>
          <w:sz w:val="24"/>
          <w:szCs w:val="24"/>
        </w:rPr>
        <w:t>corfiot</w:t>
      </w:r>
      <w:proofErr w:type="spellEnd"/>
      <w:r w:rsidRPr="0097721B">
        <w:rPr>
          <w:sz w:val="24"/>
          <w:szCs w:val="24"/>
        </w:rPr>
        <w:t xml:space="preserve"> Lorenzos Mavisis. Monitore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 è stato uno dei primi quotidiani greci, anche se parlava italiano. I cuori dei redattori erano greci. Per questo motivo viene mantenuto un posto nel capo del giornalismo greco.</w:t>
      </w:r>
      <w:r w:rsidRPr="0097721B">
        <w:rPr>
          <w:sz w:val="24"/>
          <w:szCs w:val="24"/>
        </w:rPr>
        <w:t xml:space="preserve"> </w:t>
      </w:r>
      <w:hyperlink r:id="rId14" w:history="1">
        <w:r w:rsidRPr="0097721B">
          <w:rPr>
            <w:rStyle w:val="Collegamentoipertestuale"/>
            <w:sz w:val="24"/>
            <w:szCs w:val="24"/>
          </w:rPr>
          <w:t>https://olympias.lib.uoi.gr/jspui/handle/123456789/25508?mode=full</w:t>
        </w:r>
      </w:hyperlink>
      <w:r w:rsidRPr="0097721B">
        <w:rPr>
          <w:sz w:val="24"/>
          <w:szCs w:val="24"/>
        </w:rPr>
        <w:t xml:space="preserve">. </w:t>
      </w:r>
    </w:p>
    <w:p w14:paraId="6DB56272" w14:textId="77777777" w:rsidR="00FF1B02" w:rsidRPr="0097721B" w:rsidRDefault="00FF1B02" w:rsidP="00FF1B02">
      <w:pPr>
        <w:spacing w:after="0" w:line="240" w:lineRule="auto"/>
        <w:jc w:val="both"/>
        <w:rPr>
          <w:sz w:val="24"/>
          <w:szCs w:val="24"/>
        </w:rPr>
      </w:pPr>
    </w:p>
    <w:p w14:paraId="3A3FDAC6" w14:textId="2D006184" w:rsidR="0023764E" w:rsidRPr="0097721B" w:rsidRDefault="0023764E" w:rsidP="00FF1B0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7721B">
        <w:rPr>
          <w:b/>
          <w:bCs/>
          <w:color w:val="C00000"/>
          <w:sz w:val="44"/>
          <w:szCs w:val="44"/>
        </w:rPr>
        <w:t>Note e riferimenti bibliografici</w:t>
      </w:r>
    </w:p>
    <w:p w14:paraId="626E7CEA" w14:textId="77777777" w:rsidR="0023764E" w:rsidRPr="0097721B" w:rsidRDefault="0023764E" w:rsidP="00FF1B0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97721B">
        <w:rPr>
          <w:sz w:val="24"/>
          <w:szCs w:val="24"/>
        </w:rPr>
        <w:t xml:space="preserve">Kourkoumelis, Nikolaos K. (2007–2008). "Monitore </w:t>
      </w:r>
      <w:proofErr w:type="spellStart"/>
      <w:r w:rsidRPr="0097721B">
        <w:rPr>
          <w:sz w:val="24"/>
          <w:szCs w:val="24"/>
        </w:rPr>
        <w:t>Settinsulare</w:t>
      </w:r>
      <w:proofErr w:type="spellEnd"/>
      <w:r w:rsidRPr="0097721B">
        <w:rPr>
          <w:sz w:val="24"/>
          <w:szCs w:val="24"/>
        </w:rPr>
        <w:t xml:space="preserve"> (1803-1805): Η </w:t>
      </w:r>
      <w:proofErr w:type="spellStart"/>
      <w:r w:rsidRPr="0097721B">
        <w:rPr>
          <w:sz w:val="24"/>
          <w:szCs w:val="24"/>
        </w:rPr>
        <w:t>δυσεύρετη</w:t>
      </w:r>
      <w:proofErr w:type="spellEnd"/>
      <w:r w:rsidRPr="0097721B">
        <w:rPr>
          <w:sz w:val="24"/>
          <w:szCs w:val="24"/>
        </w:rPr>
        <w:t xml:space="preserve"> </w:t>
      </w:r>
      <w:proofErr w:type="spellStart"/>
      <w:r w:rsidRPr="0097721B">
        <w:rPr>
          <w:sz w:val="24"/>
          <w:szCs w:val="24"/>
        </w:rPr>
        <w:t>εφημερίδ</w:t>
      </w:r>
      <w:proofErr w:type="spellEnd"/>
      <w:r w:rsidRPr="0097721B">
        <w:rPr>
          <w:sz w:val="24"/>
          <w:szCs w:val="24"/>
        </w:rPr>
        <w:t xml:space="preserve">α </w:t>
      </w:r>
      <w:proofErr w:type="spellStart"/>
      <w:r w:rsidRPr="0097721B">
        <w:rPr>
          <w:sz w:val="24"/>
          <w:szCs w:val="24"/>
        </w:rPr>
        <w:t>της</w:t>
      </w:r>
      <w:proofErr w:type="spellEnd"/>
      <w:r w:rsidRPr="0097721B">
        <w:rPr>
          <w:sz w:val="24"/>
          <w:szCs w:val="24"/>
        </w:rPr>
        <w:t xml:space="preserve"> Επτα</w:t>
      </w:r>
      <w:proofErr w:type="spellStart"/>
      <w:r w:rsidRPr="0097721B">
        <w:rPr>
          <w:sz w:val="24"/>
          <w:szCs w:val="24"/>
        </w:rPr>
        <w:t>νήσου</w:t>
      </w:r>
      <w:proofErr w:type="spellEnd"/>
      <w:r w:rsidRPr="0097721B">
        <w:rPr>
          <w:sz w:val="24"/>
          <w:szCs w:val="24"/>
        </w:rPr>
        <w:t xml:space="preserve"> </w:t>
      </w:r>
      <w:proofErr w:type="spellStart"/>
      <w:r w:rsidRPr="0097721B">
        <w:rPr>
          <w:sz w:val="24"/>
          <w:szCs w:val="24"/>
        </w:rPr>
        <w:t>Πολιτεί</w:t>
      </w:r>
      <w:proofErr w:type="spellEnd"/>
      <w:r w:rsidRPr="0097721B">
        <w:rPr>
          <w:sz w:val="24"/>
          <w:szCs w:val="24"/>
        </w:rPr>
        <w:t xml:space="preserve">ας". </w:t>
      </w:r>
      <w:proofErr w:type="spellStart"/>
      <w:r w:rsidRPr="0097721B">
        <w:rPr>
          <w:sz w:val="24"/>
          <w:szCs w:val="24"/>
        </w:rPr>
        <w:t>Δωδώνη</w:t>
      </w:r>
      <w:proofErr w:type="spellEnd"/>
      <w:r w:rsidRPr="0097721B">
        <w:rPr>
          <w:sz w:val="24"/>
          <w:szCs w:val="24"/>
        </w:rPr>
        <w:t xml:space="preserve">. </w:t>
      </w:r>
      <w:proofErr w:type="spellStart"/>
      <w:r w:rsidRPr="0097721B">
        <w:rPr>
          <w:sz w:val="24"/>
          <w:szCs w:val="24"/>
        </w:rPr>
        <w:t>Ιστορί</w:t>
      </w:r>
      <w:proofErr w:type="spellEnd"/>
      <w:r w:rsidRPr="0097721B">
        <w:rPr>
          <w:sz w:val="24"/>
          <w:szCs w:val="24"/>
        </w:rPr>
        <w:t>ας-Αρχαιολογίας. 36–37.</w:t>
      </w:r>
    </w:p>
    <w:p w14:paraId="5220E8C7" w14:textId="0C943C1A" w:rsidR="0023764E" w:rsidRPr="0097721B" w:rsidRDefault="008779AE" w:rsidP="00FF1B0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5" w:history="1">
        <w:r w:rsidR="0023764E" w:rsidRPr="0097721B">
          <w:rPr>
            <w:rStyle w:val="Collegamentoipertestuale"/>
            <w:sz w:val="24"/>
            <w:szCs w:val="24"/>
          </w:rPr>
          <w:t>«Veglia il rege del nord al greco bene, bello è l'aspetto, e il tutelar possente». la Russia e le isole Ionie nelle pagine della «gazzetta urbana» di Corfù (1802-1803)</w:t>
        </w:r>
        <w:r w:rsidR="0023764E" w:rsidRPr="0097721B">
          <w:rPr>
            <w:rStyle w:val="Collegamentoipertestuale"/>
            <w:sz w:val="24"/>
            <w:szCs w:val="24"/>
          </w:rPr>
          <w:t xml:space="preserve"> </w:t>
        </w:r>
        <w:r w:rsidR="0023764E" w:rsidRPr="0097721B">
          <w:rPr>
            <w:rStyle w:val="Collegamentoipertestuale"/>
            <w:i/>
            <w:iCs/>
            <w:sz w:val="24"/>
            <w:szCs w:val="24"/>
          </w:rPr>
          <w:t xml:space="preserve">rosa </w:t>
        </w:r>
        <w:proofErr w:type="spellStart"/>
        <w:r w:rsidR="0023764E" w:rsidRPr="0097721B">
          <w:rPr>
            <w:rStyle w:val="Collegamentoipertestuale"/>
            <w:i/>
            <w:iCs/>
            <w:sz w:val="24"/>
            <w:szCs w:val="24"/>
          </w:rPr>
          <w:t>maria</w:t>
        </w:r>
        <w:proofErr w:type="spellEnd"/>
        <w:r w:rsidR="0023764E" w:rsidRPr="0097721B">
          <w:rPr>
            <w:rStyle w:val="Collegamentoipertestuale"/>
            <w:i/>
            <w:iCs/>
            <w:sz w:val="24"/>
            <w:szCs w:val="24"/>
          </w:rPr>
          <w:t xml:space="preserve"> delli quadri</w:t>
        </w:r>
        <w:r w:rsidR="0023764E" w:rsidRPr="0097721B">
          <w:rPr>
            <w:rStyle w:val="Collegamentoipertestuale"/>
            <w:sz w:val="24"/>
            <w:szCs w:val="24"/>
          </w:rPr>
          <w:t xml:space="preserve"> 2025</w:t>
        </w:r>
      </w:hyperlink>
      <w:r w:rsidRPr="0097721B">
        <w:rPr>
          <w:sz w:val="24"/>
          <w:szCs w:val="24"/>
        </w:rPr>
        <w:t xml:space="preserve">. In: </w:t>
      </w:r>
      <w:r w:rsidRPr="0097721B">
        <w:rPr>
          <w:i/>
          <w:iCs/>
          <w:sz w:val="24"/>
          <w:szCs w:val="24"/>
        </w:rPr>
        <w:t>Russia e Stati italiani al tramonto dell’Antico Regime. Reti culturali e diplomazia (1765-1825)</w:t>
      </w:r>
      <w:r w:rsidRPr="0097721B">
        <w:rPr>
          <w:i/>
          <w:iCs/>
          <w:sz w:val="24"/>
          <w:szCs w:val="24"/>
        </w:rPr>
        <w:t>, p.241-254</w:t>
      </w:r>
    </w:p>
    <w:p w14:paraId="549CC8C5" w14:textId="0DD05EC0" w:rsidR="0023764E" w:rsidRPr="0097721B" w:rsidRDefault="0023764E" w:rsidP="00FF1B02">
      <w:pPr>
        <w:pStyle w:val="Paragrafoelenco"/>
        <w:numPr>
          <w:ilvl w:val="1"/>
          <w:numId w:val="1"/>
        </w:numPr>
        <w:spacing w:after="0" w:line="240" w:lineRule="auto"/>
        <w:jc w:val="both"/>
        <w:rPr>
          <w:i/>
          <w:iCs/>
          <w:sz w:val="20"/>
          <w:szCs w:val="20"/>
        </w:rPr>
      </w:pPr>
      <w:r w:rsidRPr="0097721B">
        <w:rPr>
          <w:i/>
          <w:iCs/>
          <w:sz w:val="20"/>
          <w:szCs w:val="20"/>
        </w:rPr>
        <w:t>I</w:t>
      </w:r>
      <w:r w:rsidRPr="0097721B">
        <w:rPr>
          <w:i/>
          <w:iCs/>
          <w:sz w:val="20"/>
          <w:szCs w:val="20"/>
        </w:rPr>
        <w:t xml:space="preserve">l saggio analizza la presenza dei Russi nelle Isole Ionie attraverso le pagine della «Gazzetta Urbana» di Corfù negli anni 1802-1803 durante il primo periodo della </w:t>
      </w:r>
      <w:proofErr w:type="spellStart"/>
      <w:r w:rsidRPr="0097721B">
        <w:rPr>
          <w:i/>
          <w:iCs/>
          <w:sz w:val="20"/>
          <w:szCs w:val="20"/>
        </w:rPr>
        <w:t>cotutela</w:t>
      </w:r>
      <w:proofErr w:type="spellEnd"/>
      <w:r w:rsidRPr="0097721B">
        <w:rPr>
          <w:i/>
          <w:iCs/>
          <w:sz w:val="20"/>
          <w:szCs w:val="20"/>
        </w:rPr>
        <w:t xml:space="preserve"> delle stesse insieme all'Impero ottomano, ponendo in evidenza quanto gli Ionici fossero filorussi e quanto le sette isole fossero determinanti per</w:t>
      </w:r>
      <w:r w:rsidR="008779AE" w:rsidRPr="0097721B">
        <w:rPr>
          <w:i/>
          <w:iCs/>
          <w:sz w:val="20"/>
          <w:szCs w:val="20"/>
        </w:rPr>
        <w:t xml:space="preserve"> la</w:t>
      </w:r>
      <w:r w:rsidRPr="0097721B">
        <w:rPr>
          <w:i/>
          <w:iCs/>
          <w:sz w:val="20"/>
          <w:szCs w:val="20"/>
        </w:rPr>
        <w:t xml:space="preserve"> </w:t>
      </w:r>
      <w:proofErr w:type="spellStart"/>
      <w:r w:rsidRPr="0097721B">
        <w:rPr>
          <w:i/>
          <w:iCs/>
          <w:sz w:val="20"/>
          <w:szCs w:val="20"/>
        </w:rPr>
        <w:t>mediterraneizzazione</w:t>
      </w:r>
      <w:proofErr w:type="spellEnd"/>
      <w:r w:rsidRPr="0097721B">
        <w:rPr>
          <w:i/>
          <w:iCs/>
          <w:sz w:val="20"/>
          <w:szCs w:val="20"/>
        </w:rPr>
        <w:t xml:space="preserve"> della Russia</w:t>
      </w:r>
      <w:r w:rsidR="008779AE" w:rsidRPr="0097721B">
        <w:rPr>
          <w:sz w:val="20"/>
          <w:szCs w:val="20"/>
        </w:rPr>
        <w:t xml:space="preserve"> </w:t>
      </w:r>
      <w:hyperlink r:id="rId16" w:history="1">
        <w:r w:rsidR="008779AE" w:rsidRPr="0097721B">
          <w:rPr>
            <w:rStyle w:val="Collegamentoipertestuale"/>
            <w:i/>
            <w:iCs/>
            <w:sz w:val="20"/>
            <w:szCs w:val="20"/>
          </w:rPr>
          <w:t>https://flore.unifi.it/handle/2158/1443538</w:t>
        </w:r>
      </w:hyperlink>
      <w:r w:rsidR="008779AE" w:rsidRPr="0097721B">
        <w:rPr>
          <w:i/>
          <w:iCs/>
          <w:sz w:val="20"/>
          <w:szCs w:val="20"/>
        </w:rPr>
        <w:t xml:space="preserve">. </w:t>
      </w:r>
    </w:p>
    <w:p w14:paraId="33420F43" w14:textId="4EF15984" w:rsidR="00FF1B02" w:rsidRPr="0097721B" w:rsidRDefault="00FF1B02" w:rsidP="00FF1B0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7" w:history="1">
        <w:r w:rsidRPr="0097721B">
          <w:rPr>
            <w:rStyle w:val="Collegamentoipertestuale"/>
            <w:sz w:val="24"/>
            <w:szCs w:val="24"/>
          </w:rPr>
          <w:t>TZORTZIS IKONOMOU, LA PRESENZA DI TOMMASEO NELLA STAMPA GRECA (1824-1874). In: Accademia roveretana degli Agiati, p.621-651</w:t>
        </w:r>
      </w:hyperlink>
    </w:p>
    <w:p w14:paraId="600E30AF" w14:textId="60CF2A5F" w:rsidR="00FF1B02" w:rsidRPr="0097721B" w:rsidRDefault="00FF1B02" w:rsidP="00FF1B0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8" w:history="1">
        <w:r w:rsidRPr="0097721B">
          <w:rPr>
            <w:rStyle w:val="Collegamentoipertestuale"/>
            <w:sz w:val="24"/>
            <w:szCs w:val="24"/>
          </w:rPr>
          <w:t>Ν. Κ. ΚΟΥΡΚΟΥΜΕΛΗΣ</w:t>
        </w:r>
        <w:r w:rsidRPr="0097721B">
          <w:rPr>
            <w:rStyle w:val="Collegamentoipertestuale"/>
            <w:sz w:val="24"/>
            <w:szCs w:val="24"/>
          </w:rPr>
          <w:t>,</w:t>
        </w:r>
        <w:r w:rsidRPr="0097721B">
          <w:rPr>
            <w:rStyle w:val="Collegamentoipertestuale"/>
            <w:sz w:val="24"/>
            <w:szCs w:val="24"/>
          </w:rPr>
          <w:t xml:space="preserve"> MONITORE SETTINSULARE (1803 - 1805) Η ΔΥΣΕΥΡΕΤΗ ΕΦΗΜΕΡΙΔΑ ΤΗΣ ΕΠΤΑΝΗΣΟΥ ΠΟΛΙΤΕΙΑΣ</w:t>
        </w:r>
        <w:r w:rsidRPr="0097721B">
          <w:rPr>
            <w:rStyle w:val="Collegamentoipertestuale"/>
            <w:sz w:val="24"/>
            <w:szCs w:val="24"/>
          </w:rPr>
          <w:t>, p.147-178</w:t>
        </w:r>
      </w:hyperlink>
    </w:p>
    <w:sectPr w:rsidR="00FF1B02" w:rsidRPr="0097721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6407"/>
    <w:multiLevelType w:val="multilevel"/>
    <w:tmpl w:val="729A1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72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42995"/>
    <w:rsid w:val="00043B04"/>
    <w:rsid w:val="0023764E"/>
    <w:rsid w:val="0031062F"/>
    <w:rsid w:val="003605E3"/>
    <w:rsid w:val="00375F4B"/>
    <w:rsid w:val="003811E4"/>
    <w:rsid w:val="00653982"/>
    <w:rsid w:val="00742995"/>
    <w:rsid w:val="008779AE"/>
    <w:rsid w:val="0097721B"/>
    <w:rsid w:val="00C71CAA"/>
    <w:rsid w:val="00C76838"/>
    <w:rsid w:val="00D544E6"/>
    <w:rsid w:val="00E84EF4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8479E"/>
  <w15:chartTrackingRefBased/>
  <w15:docId w15:val="{F1AC8DA2-4C2B-4723-95A6-FC124537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42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2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4299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2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74299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2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2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2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2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299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29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4299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299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74299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29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29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29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299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2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2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29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2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29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29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29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299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299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299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299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376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3764E"/>
    <w:rPr>
      <w:color w:val="605E5C"/>
      <w:shd w:val="clear" w:color="auto" w:fill="E1DFDD"/>
    </w:rPr>
  </w:style>
  <w:style w:type="character" w:customStyle="1" w:styleId="contributor">
    <w:name w:val="contributor"/>
    <w:basedOn w:val="Carpredefinitoparagrafo"/>
    <w:rsid w:val="0023764E"/>
  </w:style>
  <w:style w:type="character" w:styleId="Collegamentovisitato">
    <w:name w:val="FollowedHyperlink"/>
    <w:basedOn w:val="Carpredefinitoparagrafo"/>
    <w:uiPriority w:val="99"/>
    <w:semiHidden/>
    <w:unhideWhenUsed/>
    <w:rsid w:val="00FF1B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kythos.library.ucy.ac.cy/archive/text_term/07ae495f5b1d65c53171a7bb329a7c04?lang=en" TargetMode="External"/><Relationship Id="rId13" Type="http://schemas.openxmlformats.org/officeDocument/2006/relationships/hyperlink" Target="https://www.gazzetteeavvisi.com/gazzetta/892.html" TargetMode="External"/><Relationship Id="rId18" Type="http://schemas.openxmlformats.org/officeDocument/2006/relationships/hyperlink" Target="https://www.google.com/url?sa=t&amp;source=web&amp;rct=j&amp;opi=89978449&amp;url=https://olympias.lib.uoi.gr/jspui/bitstream/123456789/25508/6/Monitore%2520Settinsulare%2520%25281803-1805%2529.%2520%25CE%2597%2520%25CE%25B4%25CF%2585%25CF%2583%25CE%25B5%25CF%258D%25CF%2581%25CE%25B5%25CF%2584%25CE%25B7%2520%25CE%25B5%25CF%2586%25CE%25B7%25CE%25BC%25CE%25B5%25CF%2581%25CE%25AF%25CE%25B4%25CE%25B1%2520%25CF%2584%25CE%25B7%25CF%2582%2520%25CE%2595%25CF%2580%25CF%2584%25CE%25B1%25CE%25BD%25CE%25AE%25CF%2583%25CE%25BF%25CF%2585%2520%25CE%25A0%25CE%25BF%25CE%25BB%25CE%25B9%25CF%2584%25CE%25B5%25CE%25AF%25CE%25B1%25CF%2582.pdf&amp;ved=2ahUKEwiWnIKm1YiVAxVehP0HHSBzDOIQFnoECCQQAQ&amp;usg=AOvVaw3msucmuvnI8S4wZgpwTDM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capodistriasmuseum.gr/en/persons/marios-pieris/" TargetMode="External"/><Relationship Id="rId17" Type="http://schemas.openxmlformats.org/officeDocument/2006/relationships/hyperlink" Target="https://www.google.com/url?sa=t&amp;source=web&amp;rct=j&amp;opi=89978449&amp;url=https://media.agiati.org/page/attachments/memorie-mem-12-alle-origini-del-giornalismo-moderno-niccol%25C3%25B2-tommaseo-tra-professione-e-missione-art12-ikonomou.pdf&amp;ved=2ahUKEwiWnIKm1YiVAxVehP0HHSBzDOIQFnoECCIQAQ&amp;usg=AOvVaw1ETiRbIEmOqF0MZlHUJFPE" TargetMode="External"/><Relationship Id="rId2" Type="http://schemas.openxmlformats.org/officeDocument/2006/relationships/styles" Target="styles.xml"/><Relationship Id="rId16" Type="http://schemas.openxmlformats.org/officeDocument/2006/relationships/hyperlink" Target="https://flore.unifi.it/handle/2158/144353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azzetteeavvisi.com/gazzetta/892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flore.unifi.it/handle/2158/1443538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kythos.library.ucy.ac.cy/archive/item/103480" TargetMode="External"/><Relationship Id="rId14" Type="http://schemas.openxmlformats.org/officeDocument/2006/relationships/hyperlink" Target="https://olympias.lib.uoi.gr/jspui/handle/123456789/25508?mode=ful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2026-06-15T06:34:00Z</dcterms:created>
  <dcterms:modified xsi:type="dcterms:W3CDTF">2026-06-15T07:22:00Z</dcterms:modified>
</cp:coreProperties>
</file>