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BF986" w14:textId="1719653B" w:rsidR="00D57BF4" w:rsidRPr="00D12606" w:rsidRDefault="00D57BF4" w:rsidP="00D57BF4">
      <w:pPr>
        <w:spacing w:after="0" w:line="240" w:lineRule="auto"/>
        <w:jc w:val="both"/>
        <w:rPr>
          <w:rFonts w:cstheme="minorHAnsi"/>
          <w:bCs/>
          <w:i/>
          <w:iCs/>
          <w:sz w:val="16"/>
          <w:szCs w:val="16"/>
        </w:rPr>
      </w:pPr>
      <w:bookmarkStart w:id="0" w:name="_Hlk210798871"/>
      <w:r>
        <w:rPr>
          <w:rFonts w:cstheme="minorHAnsi"/>
          <w:b/>
          <w:color w:val="C00000"/>
          <w:sz w:val="44"/>
          <w:szCs w:val="44"/>
        </w:rPr>
        <w:t>XU189</w:t>
      </w:r>
      <w:r>
        <w:rPr>
          <w:rFonts w:cstheme="minorHAnsi"/>
          <w:b/>
          <w:color w:val="C00000"/>
          <w:sz w:val="44"/>
          <w:szCs w:val="44"/>
        </w:rPr>
        <w:t>2</w:t>
      </w:r>
      <w:r>
        <w:rPr>
          <w:rFonts w:cstheme="minorHAnsi"/>
          <w:b/>
          <w:color w:val="C00000"/>
          <w:sz w:val="44"/>
          <w:szCs w:val="44"/>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t>scheda creata il</w:t>
      </w:r>
      <w:r>
        <w:rPr>
          <w:rFonts w:cstheme="minorHAnsi"/>
          <w:bCs/>
          <w:i/>
          <w:iCs/>
          <w:sz w:val="16"/>
          <w:szCs w:val="16"/>
        </w:rPr>
        <w:t xml:space="preserve"> 21 luglio</w:t>
      </w:r>
      <w:r w:rsidRPr="00D12606">
        <w:rPr>
          <w:rFonts w:cstheme="minorHAnsi"/>
          <w:bCs/>
          <w:i/>
          <w:iCs/>
          <w:sz w:val="16"/>
          <w:szCs w:val="16"/>
        </w:rPr>
        <w:t xml:space="preserve"> 2026</w:t>
      </w:r>
    </w:p>
    <w:bookmarkEnd w:id="0"/>
    <w:p w14:paraId="0B505E47" w14:textId="3AAECDAC" w:rsidR="00D57BF4" w:rsidRDefault="00D57BF4" w:rsidP="00D57BF4">
      <w:pPr>
        <w:spacing w:after="0" w:line="240" w:lineRule="auto"/>
        <w:jc w:val="both"/>
        <w:rPr>
          <w:rFonts w:cstheme="minorHAnsi"/>
          <w:b/>
          <w:color w:val="C00000"/>
          <w:sz w:val="44"/>
          <w:szCs w:val="44"/>
        </w:rPr>
      </w:pPr>
      <w:r w:rsidRPr="00D12606">
        <w:rPr>
          <w:rFonts w:cstheme="minorHAnsi"/>
          <w:b/>
          <w:color w:val="C00000"/>
          <w:sz w:val="44"/>
          <w:szCs w:val="44"/>
        </w:rPr>
        <w:t>Descrizione bibliografica</w:t>
      </w:r>
    </w:p>
    <w:p w14:paraId="0101E8AD" w14:textId="0F8228E4" w:rsidR="0031062F" w:rsidRPr="000A09BC" w:rsidRDefault="00D57BF4" w:rsidP="00D57BF4">
      <w:pPr>
        <w:jc w:val="both"/>
        <w:rPr>
          <w:sz w:val="32"/>
          <w:szCs w:val="32"/>
        </w:rPr>
      </w:pPr>
      <w:r w:rsidRPr="000A09BC">
        <w:rPr>
          <w:sz w:val="32"/>
          <w:szCs w:val="32"/>
        </w:rPr>
        <w:t>Il *</w:t>
      </w:r>
      <w:proofErr w:type="gramStart"/>
      <w:r w:rsidRPr="000A09BC">
        <w:rPr>
          <w:b/>
          <w:bCs/>
          <w:sz w:val="32"/>
          <w:szCs w:val="32"/>
        </w:rPr>
        <w:t>diavolo</w:t>
      </w:r>
      <w:r w:rsidRPr="000A09BC">
        <w:rPr>
          <w:sz w:val="32"/>
          <w:szCs w:val="32"/>
        </w:rPr>
        <w:t xml:space="preserve"> :</w:t>
      </w:r>
      <w:proofErr w:type="gramEnd"/>
      <w:r w:rsidRPr="000A09BC">
        <w:rPr>
          <w:sz w:val="32"/>
          <w:szCs w:val="32"/>
        </w:rPr>
        <w:t xml:space="preserve"> giornale settimanale, serio-umoristico</w:t>
      </w:r>
      <w:r w:rsidRPr="000A09BC">
        <w:rPr>
          <w:sz w:val="32"/>
          <w:szCs w:val="32"/>
        </w:rPr>
        <w:t xml:space="preserve">. - </w:t>
      </w:r>
      <w:r w:rsidRPr="000A09BC">
        <w:rPr>
          <w:sz w:val="32"/>
          <w:szCs w:val="32"/>
        </w:rPr>
        <w:t>A</w:t>
      </w:r>
      <w:r w:rsidRPr="000A09BC">
        <w:rPr>
          <w:sz w:val="32"/>
          <w:szCs w:val="32"/>
        </w:rPr>
        <w:t>nno</w:t>
      </w:r>
      <w:r w:rsidRPr="000A09BC">
        <w:rPr>
          <w:sz w:val="32"/>
          <w:szCs w:val="32"/>
        </w:rPr>
        <w:t xml:space="preserve"> 1, n. 1 (26 set</w:t>
      </w:r>
      <w:r w:rsidRPr="000A09BC">
        <w:rPr>
          <w:sz w:val="32"/>
          <w:szCs w:val="32"/>
        </w:rPr>
        <w:t>tembre</w:t>
      </w:r>
      <w:r w:rsidRPr="000A09BC">
        <w:rPr>
          <w:sz w:val="32"/>
          <w:szCs w:val="32"/>
        </w:rPr>
        <w:t xml:space="preserve"> </w:t>
      </w:r>
      <w:proofErr w:type="gramStart"/>
      <w:r w:rsidRPr="000A09BC">
        <w:rPr>
          <w:sz w:val="32"/>
          <w:szCs w:val="32"/>
        </w:rPr>
        <w:t>1867)-</w:t>
      </w:r>
      <w:proofErr w:type="gramEnd"/>
      <w:r w:rsidRPr="000A09BC">
        <w:rPr>
          <w:sz w:val="32"/>
          <w:szCs w:val="32"/>
        </w:rPr>
        <w:t xml:space="preserve">    </w:t>
      </w:r>
      <w:proofErr w:type="gramStart"/>
      <w:r w:rsidRPr="000A09BC">
        <w:rPr>
          <w:sz w:val="32"/>
          <w:szCs w:val="32"/>
        </w:rPr>
        <w:t xml:space="preserve">  </w:t>
      </w:r>
      <w:r w:rsidRPr="000A09BC">
        <w:rPr>
          <w:sz w:val="32"/>
          <w:szCs w:val="32"/>
        </w:rPr>
        <w:t>.</w:t>
      </w:r>
      <w:proofErr w:type="gramEnd"/>
      <w:r w:rsidRPr="000A09BC">
        <w:rPr>
          <w:sz w:val="32"/>
          <w:szCs w:val="32"/>
        </w:rPr>
        <w:t xml:space="preserve"> - </w:t>
      </w:r>
      <w:proofErr w:type="gramStart"/>
      <w:r w:rsidRPr="000A09BC">
        <w:rPr>
          <w:sz w:val="32"/>
          <w:szCs w:val="32"/>
        </w:rPr>
        <w:t>Cagliari :</w:t>
      </w:r>
      <w:proofErr w:type="gramEnd"/>
      <w:r w:rsidRPr="000A09BC">
        <w:rPr>
          <w:sz w:val="32"/>
          <w:szCs w:val="32"/>
        </w:rPr>
        <w:t xml:space="preserve"> Tipografia della Gazzetta Popolare, 1867-</w:t>
      </w:r>
      <w:r w:rsidRPr="000A09BC">
        <w:rPr>
          <w:sz w:val="32"/>
          <w:szCs w:val="32"/>
        </w:rPr>
        <w:t xml:space="preserve">1868. – 2 </w:t>
      </w:r>
      <w:proofErr w:type="gramStart"/>
      <w:r w:rsidRPr="000A09BC">
        <w:rPr>
          <w:sz w:val="32"/>
          <w:szCs w:val="32"/>
        </w:rPr>
        <w:t>volumi ;</w:t>
      </w:r>
      <w:proofErr w:type="gramEnd"/>
      <w:r w:rsidRPr="000A09BC">
        <w:rPr>
          <w:sz w:val="32"/>
          <w:szCs w:val="32"/>
        </w:rPr>
        <w:t xml:space="preserve"> 32 cm. - </w:t>
      </w:r>
      <w:r w:rsidRPr="000A09BC">
        <w:rPr>
          <w:sz w:val="32"/>
          <w:szCs w:val="32"/>
        </w:rPr>
        <w:t>CAG0054850</w:t>
      </w:r>
    </w:p>
    <w:p w14:paraId="4AA069D1" w14:textId="390B1BEE" w:rsidR="00D57BF4" w:rsidRPr="000A09BC" w:rsidRDefault="00D57BF4" w:rsidP="00D57BF4">
      <w:pPr>
        <w:jc w:val="both"/>
        <w:rPr>
          <w:sz w:val="32"/>
          <w:szCs w:val="32"/>
        </w:rPr>
      </w:pPr>
      <w:r w:rsidRPr="000A09BC">
        <w:rPr>
          <w:sz w:val="32"/>
          <w:szCs w:val="32"/>
        </w:rPr>
        <w:t>Soggetto: Anticlericalismo – Sardegna – 1867-1868; Satira</w:t>
      </w:r>
      <w:r w:rsidRPr="000A09BC">
        <w:rPr>
          <w:sz w:val="32"/>
          <w:szCs w:val="32"/>
        </w:rPr>
        <w:t>– Sardegna – 1867-1868</w:t>
      </w:r>
    </w:p>
    <w:p w14:paraId="5FE38569" w14:textId="067C0CD9" w:rsidR="00D57BF4" w:rsidRPr="00D57BF4" w:rsidRDefault="00D57BF4" w:rsidP="00D57BF4">
      <w:pPr>
        <w:jc w:val="both"/>
        <w:rPr>
          <w:b/>
          <w:bCs/>
          <w:color w:val="C00000"/>
          <w:sz w:val="44"/>
          <w:szCs w:val="44"/>
        </w:rPr>
      </w:pPr>
      <w:r w:rsidRPr="00D57BF4">
        <w:rPr>
          <w:b/>
          <w:bCs/>
          <w:color w:val="C00000"/>
          <w:sz w:val="44"/>
          <w:szCs w:val="44"/>
        </w:rPr>
        <w:t>Informazioni storico-bibliografiche</w:t>
      </w:r>
    </w:p>
    <w:p w14:paraId="512B8B77" w14:textId="44FB433F" w:rsidR="00D57BF4" w:rsidRPr="000A09BC" w:rsidRDefault="00D57BF4" w:rsidP="00D57BF4">
      <w:pPr>
        <w:jc w:val="both"/>
        <w:rPr>
          <w:sz w:val="24"/>
          <w:szCs w:val="24"/>
        </w:rPr>
      </w:pPr>
      <w:r w:rsidRPr="000A09BC">
        <w:rPr>
          <w:sz w:val="24"/>
          <w:szCs w:val="24"/>
        </w:rPr>
        <w:t>F</w:t>
      </w:r>
      <w:r w:rsidRPr="000A09BC">
        <w:rPr>
          <w:sz w:val="24"/>
          <w:szCs w:val="24"/>
        </w:rPr>
        <w:t xml:space="preserve">a la sua comparsa a Cagliari il 26 settembre 1867. Le esigue prove rimaste di questo suo passaggio delineano l’immagine di un foglio orientato verso l’anticlericalismo e la polemica giornalistica. Fonti bibliografiche ne attribuiscono – ma erroneamente – la direzione a Giovanni Saragat («Il diavolo sardo» →), che in quell’anno era appena dodicenne. Insieme a quella di Il Diavolo, compaiono le firme </w:t>
      </w:r>
      <w:proofErr w:type="spellStart"/>
      <w:r w:rsidRPr="000A09BC">
        <w:rPr>
          <w:sz w:val="24"/>
          <w:szCs w:val="24"/>
        </w:rPr>
        <w:t>Belgegor</w:t>
      </w:r>
      <w:proofErr w:type="spellEnd"/>
      <w:r w:rsidRPr="000A09BC">
        <w:rPr>
          <w:sz w:val="24"/>
          <w:szCs w:val="24"/>
        </w:rPr>
        <w:t xml:space="preserve"> e Il figlio del Diavolo. Il giornale è intestato al nome del Nemico della religione per eccellenza, presentato nel programma (n. 1, 1867) non soltanto come avversario dei “predicatori di chiesa” ma anche di quel li “di piazza”, oltre che come nemico degli “impostori” e dei “calunniatori”. La battaglia si combatte sul campo giornalistico, con le armi dell’ironia e del sarcasmo. Scorrendo il settimanale si nota che la maggior parte degli articoli che lo compongono fanno riferimento a giornali isolani: «Il diavolo» spalleggia «La Gazzetta popolare» (→1991) di Giuseppe Sanna </w:t>
      </w:r>
      <w:proofErr w:type="spellStart"/>
      <w:r w:rsidRPr="000A09BC">
        <w:rPr>
          <w:sz w:val="24"/>
          <w:szCs w:val="24"/>
        </w:rPr>
        <w:t>Sanna</w:t>
      </w:r>
      <w:proofErr w:type="spellEnd"/>
      <w:r w:rsidRPr="000A09BC">
        <w:rPr>
          <w:sz w:val="24"/>
          <w:szCs w:val="24"/>
        </w:rPr>
        <w:t xml:space="preserve"> (con la quale condivide la tipografia) ed elargisce consigli a «L’avvisatore sardo» (→) ed a «Il corriere di Sardegna» (→). Queste due testate, poco più avanti, si troveranno impegnate in schermaglie con «La cronaca» (→) di Gavino Fara, vero bersaglio de «Il diavolo», che la attacca energicamente per colpirne il direttore. Dal fuoco di fila viene lambito anche «Il San Michele» (→), giornale ufficialmente diretto da Gaetano Massa, ma dietro il quale in realtà stava lo stesso Fara (n. 5, 1867). «Il diavolo» ironizza soprattutto sulle tendenze clericali mostrate in quel periodo da «La cronaca» di Fara (n. 1, 1867), il quale, sotto diversi pseudonimi (Figaro Nava, Sig. Garafa, Gavino Araf), viene largamente sbeffeggiato (n. 5, 1867). Qualche leggera frecciata sfiora anche Francesco Cocco Ortu (n. 5, 1867). L’esiguità dei numeri rimasti consente di individuare una sola rubrica fissa, “Diavolerie”. La veste tipografica è semplice, priva di illustrazioni. La pagina è divisa in due colonne, in cui la pubblicità non trova spazio.</w:t>
      </w:r>
    </w:p>
    <w:p w14:paraId="1517232C" w14:textId="6A7FE2D5" w:rsidR="00D57BF4" w:rsidRPr="000A09BC" w:rsidRDefault="00D57BF4" w:rsidP="00D57BF4">
      <w:pPr>
        <w:jc w:val="both"/>
        <w:rPr>
          <w:sz w:val="24"/>
          <w:szCs w:val="24"/>
        </w:rPr>
      </w:pPr>
      <w:r w:rsidRPr="000A09BC">
        <w:rPr>
          <w:sz w:val="24"/>
          <w:szCs w:val="24"/>
        </w:rPr>
        <w:t>BONU, 1961, p. 178. CIASCA, 1931-1934, v. 2, p. 116. DELLA MARIA, 1955-1976, p. 14. DELLA MARIA, 1963, v. 1, p. XVIII.</w:t>
      </w:r>
    </w:p>
    <w:p w14:paraId="20EA53E4" w14:textId="2E268661" w:rsidR="00D57BF4" w:rsidRPr="000A09BC" w:rsidRDefault="00D57BF4" w:rsidP="00D57BF4">
      <w:pPr>
        <w:jc w:val="both"/>
        <w:rPr>
          <w:sz w:val="24"/>
          <w:szCs w:val="24"/>
        </w:rPr>
      </w:pPr>
      <w:hyperlink r:id="rId4" w:history="1">
        <w:r w:rsidRPr="000A09BC">
          <w:rPr>
            <w:rStyle w:val="Collegamentoipertestuale"/>
            <w:sz w:val="24"/>
            <w:szCs w:val="24"/>
          </w:rPr>
          <w:t>I GIORNALI SARDI</w:t>
        </w:r>
        <w:r w:rsidRPr="000A09BC">
          <w:rPr>
            <w:rStyle w:val="Collegamentoipertestuale"/>
            <w:sz w:val="24"/>
            <w:szCs w:val="24"/>
          </w:rPr>
          <w:t xml:space="preserve"> </w:t>
        </w:r>
        <w:r w:rsidRPr="000A09BC">
          <w:rPr>
            <w:rStyle w:val="Collegamentoipertestuale"/>
            <w:sz w:val="24"/>
            <w:szCs w:val="24"/>
          </w:rPr>
          <w:t>DELL’OTTOCENTO</w:t>
        </w:r>
        <w:r w:rsidRPr="000A09BC">
          <w:rPr>
            <w:rStyle w:val="Collegamentoipertestuale"/>
            <w:sz w:val="24"/>
            <w:szCs w:val="24"/>
          </w:rPr>
          <w:t xml:space="preserve"> n.83, p.107</w:t>
        </w:r>
      </w:hyperlink>
    </w:p>
    <w:sectPr w:rsidR="00D57BF4" w:rsidRPr="000A09BC"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77F9E"/>
    <w:rsid w:val="000A09BC"/>
    <w:rsid w:val="0031062F"/>
    <w:rsid w:val="003605E3"/>
    <w:rsid w:val="00375F4B"/>
    <w:rsid w:val="003811E4"/>
    <w:rsid w:val="00477F9E"/>
    <w:rsid w:val="00653982"/>
    <w:rsid w:val="006566FA"/>
    <w:rsid w:val="00C71CAA"/>
    <w:rsid w:val="00D544E6"/>
    <w:rsid w:val="00D57BF4"/>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519C7"/>
  <w15:chartTrackingRefBased/>
  <w15:docId w15:val="{FA2B823C-CE25-4B13-B3A4-A1943D665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7BF4"/>
  </w:style>
  <w:style w:type="paragraph" w:styleId="Titolo1">
    <w:name w:val="heading 1"/>
    <w:basedOn w:val="Normale"/>
    <w:next w:val="Normale"/>
    <w:link w:val="Titolo1Carattere"/>
    <w:uiPriority w:val="9"/>
    <w:qFormat/>
    <w:rsid w:val="00477F9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477F9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477F9E"/>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477F9E"/>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477F9E"/>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477F9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77F9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77F9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77F9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7F9E"/>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477F9E"/>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477F9E"/>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477F9E"/>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477F9E"/>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477F9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7F9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7F9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7F9E"/>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7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77F9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7F9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77F9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7F9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77F9E"/>
    <w:rPr>
      <w:i/>
      <w:iCs/>
      <w:color w:val="404040" w:themeColor="text1" w:themeTint="BF"/>
    </w:rPr>
  </w:style>
  <w:style w:type="paragraph" w:styleId="Paragrafoelenco">
    <w:name w:val="List Paragraph"/>
    <w:basedOn w:val="Normale"/>
    <w:uiPriority w:val="34"/>
    <w:qFormat/>
    <w:rsid w:val="00477F9E"/>
    <w:pPr>
      <w:ind w:left="720"/>
      <w:contextualSpacing/>
    </w:pPr>
  </w:style>
  <w:style w:type="character" w:styleId="Enfasiintensa">
    <w:name w:val="Intense Emphasis"/>
    <w:basedOn w:val="Carpredefinitoparagrafo"/>
    <w:uiPriority w:val="21"/>
    <w:qFormat/>
    <w:rsid w:val="00477F9E"/>
    <w:rPr>
      <w:i/>
      <w:iCs/>
      <w:color w:val="365F91" w:themeColor="accent1" w:themeShade="BF"/>
    </w:rPr>
  </w:style>
  <w:style w:type="paragraph" w:styleId="Citazioneintensa">
    <w:name w:val="Intense Quote"/>
    <w:basedOn w:val="Normale"/>
    <w:next w:val="Normale"/>
    <w:link w:val="CitazioneintensaCarattere"/>
    <w:uiPriority w:val="30"/>
    <w:qFormat/>
    <w:rsid w:val="00477F9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477F9E"/>
    <w:rPr>
      <w:i/>
      <w:iCs/>
      <w:color w:val="365F91" w:themeColor="accent1" w:themeShade="BF"/>
    </w:rPr>
  </w:style>
  <w:style w:type="character" w:styleId="Riferimentointenso">
    <w:name w:val="Intense Reference"/>
    <w:basedOn w:val="Carpredefinitoparagrafo"/>
    <w:uiPriority w:val="32"/>
    <w:qFormat/>
    <w:rsid w:val="00477F9E"/>
    <w:rPr>
      <w:b/>
      <w:bCs/>
      <w:smallCaps/>
      <w:color w:val="365F91" w:themeColor="accent1" w:themeShade="BF"/>
      <w:spacing w:val="5"/>
    </w:rPr>
  </w:style>
  <w:style w:type="character" w:styleId="Collegamentoipertestuale">
    <w:name w:val="Hyperlink"/>
    <w:basedOn w:val="Carpredefinitoparagrafo"/>
    <w:uiPriority w:val="99"/>
    <w:unhideWhenUsed/>
    <w:rsid w:val="00D57BF4"/>
    <w:rPr>
      <w:color w:val="0000FF" w:themeColor="hyperlink"/>
      <w:u w:val="single"/>
    </w:rPr>
  </w:style>
  <w:style w:type="character" w:styleId="Menzionenonrisolta">
    <w:name w:val="Unresolved Mention"/>
    <w:basedOn w:val="Carpredefinitoparagrafo"/>
    <w:uiPriority w:val="99"/>
    <w:semiHidden/>
    <w:unhideWhenUsed/>
    <w:rsid w:val="00D5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sa=i&amp;source=web&amp;rct=j&amp;url=https://www.regione.sardegna.it/documenti/17_151_20160114141658.pdf&amp;ved=2ahUKEwjvoofR7-OVAxUM_rsIHbPkDkYQ0YISegoIAggACAAIBxAC&amp;opi=89978449&amp;cd&amp;psig=AOvVaw3adxglgXw8XTyZCcefjynN&amp;ust=178472681741900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423</Words>
  <Characters>2416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2026-07-21T13:24:00Z</dcterms:created>
  <dcterms:modified xsi:type="dcterms:W3CDTF">2026-07-21T13:34:00Z</dcterms:modified>
</cp:coreProperties>
</file>