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A6660" w14:textId="2DD3C8B0" w:rsidR="00215290" w:rsidRDefault="00215290" w:rsidP="00215290">
      <w:pPr>
        <w:spacing w:after="0" w:line="240" w:lineRule="auto"/>
        <w:jc w:val="both"/>
        <w:rPr>
          <w:i/>
          <w:iCs/>
          <w:sz w:val="16"/>
          <w:szCs w:val="16"/>
        </w:rPr>
      </w:pPr>
      <w:r w:rsidRPr="00215290">
        <w:rPr>
          <w:b/>
          <w:bCs/>
          <w:color w:val="C00000"/>
          <w:sz w:val="44"/>
          <w:szCs w:val="44"/>
        </w:rPr>
        <w:t>XU189</w:t>
      </w:r>
      <w:r>
        <w:rPr>
          <w:b/>
          <w:bCs/>
          <w:color w:val="C00000"/>
          <w:sz w:val="44"/>
          <w:szCs w:val="44"/>
        </w:rPr>
        <w:t>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15290">
        <w:rPr>
          <w:i/>
          <w:iCs/>
          <w:sz w:val="16"/>
          <w:szCs w:val="16"/>
        </w:rPr>
        <w:t>scheda creata il 2</w:t>
      </w:r>
      <w:r>
        <w:rPr>
          <w:i/>
          <w:iCs/>
          <w:sz w:val="16"/>
          <w:szCs w:val="16"/>
        </w:rPr>
        <w:t>3</w:t>
      </w:r>
      <w:r w:rsidRPr="00215290">
        <w:rPr>
          <w:i/>
          <w:iCs/>
          <w:sz w:val="16"/>
          <w:szCs w:val="16"/>
        </w:rPr>
        <w:t xml:space="preserve"> luglio 2026</w:t>
      </w:r>
    </w:p>
    <w:p w14:paraId="4915099A" w14:textId="1FA93778" w:rsidR="00215290" w:rsidRPr="00215290" w:rsidRDefault="00215290" w:rsidP="00215290">
      <w:pPr>
        <w:spacing w:after="0" w:line="240" w:lineRule="auto"/>
        <w:jc w:val="both"/>
        <w:rPr>
          <w:b/>
          <w:bCs/>
          <w:i/>
          <w:iCs/>
          <w:color w:val="C00000"/>
          <w:sz w:val="44"/>
          <w:szCs w:val="44"/>
        </w:rPr>
      </w:pPr>
      <w:r w:rsidRPr="00215290">
        <w:rPr>
          <w:b/>
          <w:bCs/>
          <w:color w:val="C00000"/>
          <w:sz w:val="44"/>
          <w:szCs w:val="44"/>
        </w:rPr>
        <w:t>Descrizione bibliografica</w:t>
      </w:r>
    </w:p>
    <w:p w14:paraId="79264416" w14:textId="6F246740" w:rsidR="00215290" w:rsidRDefault="004B585D" w:rsidP="00215290">
      <w:pPr>
        <w:spacing w:after="0" w:line="240" w:lineRule="auto"/>
        <w:jc w:val="center"/>
      </w:pPr>
      <w:r w:rsidRPr="004B585D">
        <w:drawing>
          <wp:inline distT="0" distB="0" distL="0" distR="0" wp14:anchorId="70CA37FF" wp14:editId="58A7EE16">
            <wp:extent cx="2826000" cy="4532400"/>
            <wp:effectExtent l="0" t="0" r="0" b="1905"/>
            <wp:docPr id="159370388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70388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26000" cy="45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5290">
        <w:rPr>
          <w:noProof/>
        </w:rPr>
        <w:drawing>
          <wp:inline distT="0" distB="0" distL="0" distR="0" wp14:anchorId="308D0CB8" wp14:editId="516CDEB0">
            <wp:extent cx="2858400" cy="4532400"/>
            <wp:effectExtent l="0" t="0" r="0" b="1905"/>
            <wp:docPr id="104733821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400" cy="453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4A2B00" w14:textId="497DB89D" w:rsidR="0031062F" w:rsidRPr="00215290" w:rsidRDefault="004B585D" w:rsidP="00215290">
      <w:pPr>
        <w:spacing w:after="0" w:line="240" w:lineRule="auto"/>
        <w:jc w:val="both"/>
        <w:rPr>
          <w:sz w:val="28"/>
          <w:szCs w:val="28"/>
        </w:rPr>
      </w:pPr>
      <w:r w:rsidRPr="00215290">
        <w:rPr>
          <w:sz w:val="28"/>
          <w:szCs w:val="28"/>
        </w:rPr>
        <w:t>*</w:t>
      </w:r>
      <w:r w:rsidRPr="00215290">
        <w:rPr>
          <w:b/>
          <w:bCs/>
          <w:sz w:val="28"/>
          <w:szCs w:val="28"/>
        </w:rPr>
        <w:t xml:space="preserve">Almanacco statistico del </w:t>
      </w:r>
      <w:r w:rsidRPr="00215290">
        <w:rPr>
          <w:b/>
          <w:bCs/>
          <w:sz w:val="28"/>
          <w:szCs w:val="28"/>
        </w:rPr>
        <w:t>R</w:t>
      </w:r>
      <w:r w:rsidRPr="00215290">
        <w:rPr>
          <w:b/>
          <w:bCs/>
          <w:sz w:val="28"/>
          <w:szCs w:val="28"/>
        </w:rPr>
        <w:t xml:space="preserve">egno </w:t>
      </w:r>
      <w:proofErr w:type="gramStart"/>
      <w:r w:rsidRPr="00215290">
        <w:rPr>
          <w:b/>
          <w:bCs/>
          <w:sz w:val="28"/>
          <w:szCs w:val="28"/>
        </w:rPr>
        <w:t>d'Italia</w:t>
      </w:r>
      <w:r w:rsidRPr="00215290">
        <w:rPr>
          <w:sz w:val="28"/>
          <w:szCs w:val="28"/>
        </w:rPr>
        <w:t xml:space="preserve"> :</w:t>
      </w:r>
      <w:proofErr w:type="gramEnd"/>
      <w:r w:rsidRPr="00215290">
        <w:rPr>
          <w:sz w:val="28"/>
          <w:szCs w:val="28"/>
        </w:rPr>
        <w:t xml:space="preserve"> comparato </w:t>
      </w:r>
      <w:proofErr w:type="gramStart"/>
      <w:r w:rsidRPr="00215290">
        <w:rPr>
          <w:sz w:val="28"/>
          <w:szCs w:val="28"/>
        </w:rPr>
        <w:t>coll'Inghilterra</w:t>
      </w:r>
      <w:proofErr w:type="gramEnd"/>
      <w:r w:rsidRPr="00215290">
        <w:rPr>
          <w:sz w:val="28"/>
          <w:szCs w:val="28"/>
        </w:rPr>
        <w:t>, Francia ed Austria con incisioni intercalate al testo desunto dalle più recenti statistiche / dal prof. Francesco Berlan. - Anno 1 (</w:t>
      </w:r>
      <w:proofErr w:type="gramStart"/>
      <w:r w:rsidRPr="00215290">
        <w:rPr>
          <w:sz w:val="28"/>
          <w:szCs w:val="28"/>
        </w:rPr>
        <w:t>1863)-</w:t>
      </w:r>
      <w:proofErr w:type="gramEnd"/>
      <w:r w:rsidRPr="00215290">
        <w:rPr>
          <w:sz w:val="28"/>
          <w:szCs w:val="28"/>
        </w:rPr>
        <w:t>anno 3 (1865)</w:t>
      </w:r>
      <w:r w:rsidRPr="00215290">
        <w:rPr>
          <w:sz w:val="28"/>
          <w:szCs w:val="28"/>
        </w:rPr>
        <w:t xml:space="preserve">. - </w:t>
      </w:r>
      <w:proofErr w:type="gramStart"/>
      <w:r w:rsidRPr="00215290">
        <w:rPr>
          <w:sz w:val="28"/>
          <w:szCs w:val="28"/>
        </w:rPr>
        <w:t>Milano :</w:t>
      </w:r>
      <w:proofErr w:type="gramEnd"/>
      <w:r w:rsidRPr="00215290">
        <w:rPr>
          <w:sz w:val="28"/>
          <w:szCs w:val="28"/>
        </w:rPr>
        <w:t xml:space="preserve"> Presso l'ufficio della Cicala politica, 1863-</w:t>
      </w:r>
      <w:r w:rsidRPr="00215290">
        <w:rPr>
          <w:sz w:val="28"/>
          <w:szCs w:val="28"/>
        </w:rPr>
        <w:t>1865</w:t>
      </w:r>
      <w:r w:rsidRPr="00215290">
        <w:rPr>
          <w:sz w:val="28"/>
          <w:szCs w:val="28"/>
        </w:rPr>
        <w:t xml:space="preserve">. </w:t>
      </w:r>
      <w:r w:rsidRPr="00215290">
        <w:rPr>
          <w:sz w:val="28"/>
          <w:szCs w:val="28"/>
        </w:rPr>
        <w:t>–</w:t>
      </w:r>
      <w:r w:rsidRPr="00215290">
        <w:rPr>
          <w:sz w:val="28"/>
          <w:szCs w:val="28"/>
        </w:rPr>
        <w:t xml:space="preserve"> </w:t>
      </w:r>
      <w:r w:rsidRPr="00215290">
        <w:rPr>
          <w:sz w:val="28"/>
          <w:szCs w:val="28"/>
        </w:rPr>
        <w:t xml:space="preserve">3 </w:t>
      </w:r>
      <w:proofErr w:type="gramStart"/>
      <w:r w:rsidRPr="00215290">
        <w:rPr>
          <w:sz w:val="28"/>
          <w:szCs w:val="28"/>
        </w:rPr>
        <w:t>volumi ;</w:t>
      </w:r>
      <w:proofErr w:type="gramEnd"/>
      <w:r w:rsidRPr="00215290">
        <w:rPr>
          <w:sz w:val="28"/>
          <w:szCs w:val="28"/>
        </w:rPr>
        <w:t xml:space="preserve"> 18 cm. </w:t>
      </w:r>
      <w:r w:rsidRPr="00215290">
        <w:rPr>
          <w:sz w:val="28"/>
          <w:szCs w:val="28"/>
        </w:rPr>
        <w:t>((</w:t>
      </w:r>
      <w:r w:rsidRPr="00215290">
        <w:rPr>
          <w:sz w:val="28"/>
          <w:szCs w:val="28"/>
        </w:rPr>
        <w:t xml:space="preserve">Annuale. - Da anno 3 (1865) il complemento del titolo varia. - Dall'anno 2 </w:t>
      </w:r>
      <w:r w:rsidRPr="00215290">
        <w:rPr>
          <w:sz w:val="28"/>
          <w:szCs w:val="28"/>
        </w:rPr>
        <w:t xml:space="preserve">(1864) </w:t>
      </w:r>
      <w:r w:rsidRPr="00215290">
        <w:rPr>
          <w:sz w:val="28"/>
          <w:szCs w:val="28"/>
        </w:rPr>
        <w:t xml:space="preserve">l'editore varia in: </w:t>
      </w:r>
      <w:r w:rsidRPr="00215290">
        <w:rPr>
          <w:sz w:val="28"/>
          <w:szCs w:val="28"/>
        </w:rPr>
        <w:t>Fr</w:t>
      </w:r>
      <w:r w:rsidR="00215290" w:rsidRPr="00215290">
        <w:rPr>
          <w:sz w:val="28"/>
          <w:szCs w:val="28"/>
        </w:rPr>
        <w:t>ancesco</w:t>
      </w:r>
      <w:r w:rsidRPr="00215290">
        <w:rPr>
          <w:sz w:val="28"/>
          <w:szCs w:val="28"/>
        </w:rPr>
        <w:t xml:space="preserve"> </w:t>
      </w:r>
      <w:r w:rsidRPr="00215290">
        <w:rPr>
          <w:sz w:val="28"/>
          <w:szCs w:val="28"/>
        </w:rPr>
        <w:t>Vallardi.</w:t>
      </w:r>
      <w:r w:rsidRPr="00215290">
        <w:rPr>
          <w:sz w:val="28"/>
          <w:szCs w:val="28"/>
        </w:rPr>
        <w:t xml:space="preserve"> - </w:t>
      </w:r>
      <w:r w:rsidRPr="00215290">
        <w:rPr>
          <w:sz w:val="28"/>
          <w:szCs w:val="28"/>
        </w:rPr>
        <w:t>IEI0107273</w:t>
      </w:r>
    </w:p>
    <w:p w14:paraId="08F2D30C" w14:textId="31A5F386" w:rsidR="004B585D" w:rsidRPr="00215290" w:rsidRDefault="00215290" w:rsidP="00215290">
      <w:pPr>
        <w:spacing w:after="0" w:line="240" w:lineRule="auto"/>
        <w:jc w:val="both"/>
        <w:rPr>
          <w:sz w:val="28"/>
          <w:szCs w:val="28"/>
        </w:rPr>
      </w:pPr>
      <w:r w:rsidRPr="00215290">
        <w:rPr>
          <w:sz w:val="28"/>
          <w:szCs w:val="28"/>
        </w:rPr>
        <w:t>Variante del t</w:t>
      </w:r>
      <w:r w:rsidR="004B585D" w:rsidRPr="00215290">
        <w:rPr>
          <w:sz w:val="28"/>
          <w:szCs w:val="28"/>
        </w:rPr>
        <w:t>itolo nel 1865: *</w:t>
      </w:r>
      <w:r w:rsidR="004B585D" w:rsidRPr="00215290">
        <w:rPr>
          <w:sz w:val="28"/>
          <w:szCs w:val="28"/>
        </w:rPr>
        <w:t xml:space="preserve">Almanacco statistico </w:t>
      </w:r>
      <w:r w:rsidR="004B585D" w:rsidRPr="00215290">
        <w:rPr>
          <w:sz w:val="28"/>
          <w:szCs w:val="28"/>
        </w:rPr>
        <w:t xml:space="preserve">illustrato </w:t>
      </w:r>
      <w:r w:rsidR="004B585D" w:rsidRPr="00215290">
        <w:rPr>
          <w:sz w:val="28"/>
          <w:szCs w:val="28"/>
        </w:rPr>
        <w:t>del Regno d'Italia</w:t>
      </w:r>
    </w:p>
    <w:p w14:paraId="50F33124" w14:textId="2107138A" w:rsidR="004B585D" w:rsidRPr="00215290" w:rsidRDefault="004B585D" w:rsidP="00215290">
      <w:pPr>
        <w:spacing w:after="0" w:line="240" w:lineRule="auto"/>
        <w:jc w:val="both"/>
        <w:rPr>
          <w:sz w:val="28"/>
          <w:szCs w:val="28"/>
        </w:rPr>
      </w:pPr>
      <w:r w:rsidRPr="00215290">
        <w:rPr>
          <w:sz w:val="28"/>
          <w:szCs w:val="28"/>
        </w:rPr>
        <w:t xml:space="preserve">Autore: </w:t>
      </w:r>
      <w:r w:rsidRPr="00215290">
        <w:rPr>
          <w:sz w:val="28"/>
          <w:szCs w:val="28"/>
        </w:rPr>
        <w:t xml:space="preserve">Berlan, Francesco </w:t>
      </w:r>
    </w:p>
    <w:p w14:paraId="7B6E9BD4" w14:textId="16456A30" w:rsidR="004B585D" w:rsidRPr="00215290" w:rsidRDefault="004B585D" w:rsidP="00215290">
      <w:pPr>
        <w:spacing w:after="0" w:line="240" w:lineRule="auto"/>
        <w:jc w:val="both"/>
        <w:rPr>
          <w:sz w:val="28"/>
          <w:szCs w:val="28"/>
        </w:rPr>
      </w:pPr>
      <w:r w:rsidRPr="00215290">
        <w:rPr>
          <w:sz w:val="28"/>
          <w:szCs w:val="28"/>
        </w:rPr>
        <w:t>Soggetto: Italia – Statistica – 1863-1865</w:t>
      </w:r>
    </w:p>
    <w:p w14:paraId="27760CFB" w14:textId="09E9FAC5" w:rsidR="004B585D" w:rsidRPr="00215290" w:rsidRDefault="004B585D" w:rsidP="00215290">
      <w:pPr>
        <w:spacing w:after="0" w:line="240" w:lineRule="auto"/>
        <w:jc w:val="both"/>
        <w:rPr>
          <w:sz w:val="28"/>
          <w:szCs w:val="28"/>
        </w:rPr>
      </w:pPr>
      <w:r w:rsidRPr="00215290">
        <w:rPr>
          <w:b/>
          <w:bCs/>
          <w:color w:val="C00000"/>
          <w:sz w:val="28"/>
          <w:szCs w:val="28"/>
        </w:rPr>
        <w:t>Copi</w:t>
      </w:r>
      <w:r w:rsidR="00215290" w:rsidRPr="00215290">
        <w:rPr>
          <w:b/>
          <w:bCs/>
          <w:color w:val="C00000"/>
          <w:sz w:val="28"/>
          <w:szCs w:val="28"/>
        </w:rPr>
        <w:t>e</w:t>
      </w:r>
      <w:r w:rsidRPr="00215290">
        <w:rPr>
          <w:b/>
          <w:bCs/>
          <w:color w:val="C00000"/>
          <w:sz w:val="28"/>
          <w:szCs w:val="28"/>
        </w:rPr>
        <w:t xml:space="preserve"> digital</w:t>
      </w:r>
      <w:r w:rsidR="00215290" w:rsidRPr="00215290">
        <w:rPr>
          <w:b/>
          <w:bCs/>
          <w:color w:val="C00000"/>
          <w:sz w:val="28"/>
          <w:szCs w:val="28"/>
        </w:rPr>
        <w:t>i</w:t>
      </w:r>
      <w:r w:rsidRPr="00215290">
        <w:rPr>
          <w:sz w:val="28"/>
          <w:szCs w:val="28"/>
        </w:rPr>
        <w:t xml:space="preserve">: </w:t>
      </w:r>
      <w:hyperlink r:id="rId6" w:history="1">
        <w:r w:rsidRPr="00215290">
          <w:rPr>
            <w:rStyle w:val="Collegamentoipertestuale"/>
            <w:sz w:val="28"/>
            <w:szCs w:val="28"/>
          </w:rPr>
          <w:t>3(1865)</w:t>
        </w:r>
      </w:hyperlink>
      <w:r w:rsidRPr="00215290">
        <w:rPr>
          <w:sz w:val="28"/>
          <w:szCs w:val="28"/>
        </w:rPr>
        <w:t xml:space="preserve">; </w:t>
      </w:r>
      <w:hyperlink r:id="rId7" w:anchor="v=onepage&amp;q&amp;f=false" w:history="1">
        <w:r w:rsidRPr="00215290">
          <w:rPr>
            <w:rStyle w:val="Collegamentoipertestuale"/>
            <w:sz w:val="28"/>
            <w:szCs w:val="28"/>
          </w:rPr>
          <w:t>3(1865)</w:t>
        </w:r>
      </w:hyperlink>
      <w:r w:rsidR="00215290" w:rsidRPr="00215290">
        <w:rPr>
          <w:sz w:val="28"/>
          <w:szCs w:val="28"/>
        </w:rPr>
        <w:t xml:space="preserve">; </w:t>
      </w:r>
      <w:hyperlink r:id="rId8" w:history="1">
        <w:r w:rsidR="00215290" w:rsidRPr="00215290">
          <w:rPr>
            <w:rStyle w:val="Collegamentoipertestuale"/>
            <w:sz w:val="28"/>
            <w:szCs w:val="28"/>
          </w:rPr>
          <w:t>3(1865)</w:t>
        </w:r>
      </w:hyperlink>
    </w:p>
    <w:p w14:paraId="06620ED7" w14:textId="77777777" w:rsidR="00215290" w:rsidRDefault="00215290" w:rsidP="00215290">
      <w:pPr>
        <w:spacing w:after="0" w:line="240" w:lineRule="auto"/>
        <w:jc w:val="both"/>
      </w:pPr>
    </w:p>
    <w:p w14:paraId="1F7B7CD2" w14:textId="3E495F2F" w:rsidR="004B585D" w:rsidRPr="004B585D" w:rsidRDefault="004B585D" w:rsidP="00215290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4B585D">
        <w:rPr>
          <w:b/>
          <w:bCs/>
          <w:color w:val="C00000"/>
          <w:sz w:val="44"/>
          <w:szCs w:val="44"/>
        </w:rPr>
        <w:t>Informazioni storico-bibliografiche</w:t>
      </w:r>
    </w:p>
    <w:p w14:paraId="7F6AEBE8" w14:textId="70BCF901" w:rsidR="004B585D" w:rsidRPr="00215290" w:rsidRDefault="004B585D" w:rsidP="00215290">
      <w:pPr>
        <w:spacing w:after="0" w:line="240" w:lineRule="auto"/>
        <w:jc w:val="both"/>
        <w:rPr>
          <w:sz w:val="28"/>
          <w:szCs w:val="28"/>
        </w:rPr>
      </w:pPr>
      <w:r w:rsidRPr="00215290">
        <w:rPr>
          <w:sz w:val="28"/>
          <w:szCs w:val="28"/>
        </w:rPr>
        <w:t xml:space="preserve">3(1865): </w:t>
      </w:r>
      <w:r w:rsidRPr="00215290">
        <w:rPr>
          <w:sz w:val="28"/>
          <w:szCs w:val="28"/>
        </w:rPr>
        <w:t xml:space="preserve">L'articolo di apertura </w:t>
      </w:r>
      <w:proofErr w:type="gramStart"/>
      <w:r w:rsidRPr="00215290">
        <w:rPr>
          <w:sz w:val="28"/>
          <w:szCs w:val="28"/>
        </w:rPr>
        <w:t>indirizzato</w:t>
      </w:r>
      <w:proofErr w:type="gramEnd"/>
      <w:r w:rsidRPr="00215290">
        <w:rPr>
          <w:sz w:val="28"/>
          <w:szCs w:val="28"/>
        </w:rPr>
        <w:t xml:space="preserve"> </w:t>
      </w:r>
      <w:r w:rsidRPr="00215290">
        <w:rPr>
          <w:i/>
          <w:iCs/>
          <w:sz w:val="28"/>
          <w:szCs w:val="28"/>
        </w:rPr>
        <w:t>Ai lettori</w:t>
      </w:r>
      <w:r w:rsidRPr="00215290">
        <w:rPr>
          <w:sz w:val="28"/>
          <w:szCs w:val="28"/>
        </w:rPr>
        <w:t xml:space="preserve"> così inizia: "Le liete accoglienze fatte dal pubblico italiano a questo almanacco statistico, di cui l'anno scorso si rese necessaria una seconda edizione, incoraggiarono editore ed autore a dargli maggiore estensione e novità e ricchezza d'incisioni". L'articolo prosegue </w:t>
      </w:r>
      <w:r w:rsidRPr="00215290">
        <w:rPr>
          <w:sz w:val="28"/>
          <w:szCs w:val="28"/>
        </w:rPr>
        <w:lastRenderedPageBreak/>
        <w:t>mettendo in rilievo la ricchezza del materiale contenuto nell'almanacco e soprattutto la qualità delle incisioni. E dopo avere ricordato che la pubblicazione è stata stampata in 10.000 copie, così si conclude: "Il nostro libretto è il prontuario d'ogni buon cittadino: di ognuno deve cercar di conoscere le condizioni della sua patria e non disdegnare poche pagine a tal fine con diligenza dettate".</w:t>
      </w:r>
      <w:r w:rsidR="00215290">
        <w:rPr>
          <w:sz w:val="28"/>
          <w:szCs w:val="28"/>
        </w:rPr>
        <w:t xml:space="preserve"> </w:t>
      </w:r>
      <w:r w:rsidRPr="00215290">
        <w:rPr>
          <w:sz w:val="28"/>
          <w:szCs w:val="28"/>
        </w:rPr>
        <w:t>L'almanacco, dopo una breve cronaca politica e 29 pagine con incisioni concernenti le armi dei comuni toscani, illustra le varie voci delle statistiche italiane (industria, commercio, finanza, agricoltura, politica, istruzione pubblica, poste e comunicazioni, ecc.) con poche comparazioni con alcuni Stati stranieri. In appendice, sotto la rubrica "Varietà" sono pubblicati diversi articoli concernenti le proprietà ecclesiastiche, urbane e rustiche, di Roma e del suo territorio, il debito pubblico degli Stati della Chiesa, il commercio e la navigazione di Venezia (ancora facente parte dell'Impero austriaco), il bilancio comunale di Torino, la Compagnia di Gesù e la Società dei "biscottieri" (così chiamata perché usava portare i biscotti agli ammalati).</w:t>
      </w:r>
      <w:r w:rsidRPr="00215290">
        <w:rPr>
          <w:sz w:val="28"/>
          <w:szCs w:val="28"/>
        </w:rPr>
        <w:t xml:space="preserve"> </w:t>
      </w:r>
      <w:hyperlink r:id="rId9" w:history="1">
        <w:r w:rsidRPr="00215290">
          <w:rPr>
            <w:rStyle w:val="Collegamentoipertestuale"/>
            <w:sz w:val="28"/>
            <w:szCs w:val="28"/>
          </w:rPr>
          <w:t>https://www.lombardiabeniculturali.it/pereco/schede/39/</w:t>
        </w:r>
      </w:hyperlink>
      <w:r w:rsidRPr="00215290">
        <w:rPr>
          <w:sz w:val="28"/>
          <w:szCs w:val="28"/>
        </w:rPr>
        <w:t xml:space="preserve">. </w:t>
      </w:r>
    </w:p>
    <w:p w14:paraId="7F8F993F" w14:textId="77777777" w:rsidR="004B585D" w:rsidRPr="00215290" w:rsidRDefault="004B585D" w:rsidP="00215290">
      <w:pPr>
        <w:spacing w:after="0" w:line="240" w:lineRule="auto"/>
        <w:jc w:val="both"/>
        <w:rPr>
          <w:sz w:val="28"/>
          <w:szCs w:val="28"/>
        </w:rPr>
      </w:pPr>
    </w:p>
    <w:p w14:paraId="6F71593C" w14:textId="5129B302" w:rsidR="00215290" w:rsidRPr="00215290" w:rsidRDefault="004B585D" w:rsidP="00215290">
      <w:pPr>
        <w:spacing w:after="0" w:line="240" w:lineRule="auto"/>
        <w:jc w:val="both"/>
        <w:rPr>
          <w:sz w:val="28"/>
          <w:szCs w:val="28"/>
        </w:rPr>
      </w:pPr>
      <w:r w:rsidRPr="00215290">
        <w:rPr>
          <w:sz w:val="28"/>
          <w:szCs w:val="28"/>
        </w:rPr>
        <w:t>Nel 1865 il professor Francesco Berlan curò l’Almanacco statistico illustrato del Regno d’Italia confrontato colla Francia, Inghilterra ed Austria desunto da statistiche Officiali” pubblicato dall’editore Dottor FR. VALLARDI.</w:t>
      </w:r>
      <w:r w:rsidR="00215290">
        <w:rPr>
          <w:sz w:val="28"/>
          <w:szCs w:val="28"/>
        </w:rPr>
        <w:t xml:space="preserve"> </w:t>
      </w:r>
      <w:r w:rsidRPr="00215290">
        <w:rPr>
          <w:sz w:val="28"/>
          <w:szCs w:val="28"/>
        </w:rPr>
        <w:t>Francesco Berlan era un patriota. Nato a Venezia nel 1821, dovette fuggirne nel 1849 rifugiandosi a Parigi e poi nel Regno sabaudo dove fu insegnante. Doveva essere un tipo un po’ irascibile perché non era persona affabile ed era antipatico a molti. Quando un suo scritto era criticato o gli veniva indicato un suo errore, replicava in modo eccessivo con nuovi scritti.</w:t>
      </w:r>
      <w:r w:rsidR="00215290" w:rsidRPr="00215290">
        <w:rPr>
          <w:sz w:val="28"/>
          <w:szCs w:val="28"/>
        </w:rPr>
        <w:t xml:space="preserve"> </w:t>
      </w:r>
      <w:r w:rsidRPr="00215290">
        <w:rPr>
          <w:sz w:val="28"/>
          <w:szCs w:val="28"/>
        </w:rPr>
        <w:t>«Egli crede dovuta al proprio onore la difesa. E passi. Ma vi tesse su ben quindici fitte pagine, nelle quali, come in tante altre occasioni, mira a demolir l’avversario, dimostrando i suoi errori, dileggiandolo, colmandolo di parole e parole rabbiose, che a lui, Berlan, saranno riuscite di piacevole sfogo, ma che ben pochi altri avranno avuto la pazienza di leggere.» (B. Cecchetti, Francesco Berlan. Commemorazione, in Ateneo Veneto, II, 1886, pp. 263-302.)</w:t>
      </w:r>
      <w:r w:rsidR="00215290">
        <w:rPr>
          <w:sz w:val="28"/>
          <w:szCs w:val="28"/>
        </w:rPr>
        <w:t xml:space="preserve"> </w:t>
      </w:r>
      <w:r w:rsidRPr="00215290">
        <w:rPr>
          <w:sz w:val="28"/>
          <w:szCs w:val="28"/>
        </w:rPr>
        <w:t>Viene da pensare che, se queste parole vengono usate nella sua “commemorazione”, chissà cosa dicevano di lui quando era ancora in vita.</w:t>
      </w:r>
      <w:r w:rsidR="00215290" w:rsidRPr="00215290">
        <w:rPr>
          <w:sz w:val="28"/>
          <w:szCs w:val="28"/>
        </w:rPr>
        <w:t xml:space="preserve"> </w:t>
      </w:r>
      <w:r w:rsidRPr="00215290">
        <w:rPr>
          <w:sz w:val="28"/>
          <w:szCs w:val="28"/>
        </w:rPr>
        <w:t>Ma, a prescindere da ciò, ho trovato di interesse alcuni dei molteplici dati indicati nel suo almanacco. In particolare, questa “statistica sui boschi del Regno” (tratta, a sua volta dal Calendario generale del regno pel 1864, pag. 321-323) riportata nell’immagine nella pagina successiva.</w:t>
      </w:r>
      <w:r w:rsidR="00215290" w:rsidRPr="00215290">
        <w:rPr>
          <w:sz w:val="28"/>
          <w:szCs w:val="28"/>
        </w:rPr>
        <w:t xml:space="preserve"> </w:t>
      </w:r>
      <w:r w:rsidRPr="00215290">
        <w:rPr>
          <w:sz w:val="28"/>
          <w:szCs w:val="28"/>
        </w:rPr>
        <w:t>Evidenzio che quelle che venivano chiamate “Antiche Provincie” corrispondevano al vecchio Regno sabaudo (a grandi linee: Piemonte, Liguria, Val d’Aosta e Sardegna). Proprio le Antiche Provincie risultano quelle con maggior incidenza di boschi (27,6%), dopo l’Umbria (34,9%). Fanalino di coda le Provincie Napoletane con un 10,9%. Nella statistica non figurano i territori del Regno Pontificio e i possedimenti austriaci (indicativamente: Veneto, Friuli-</w:t>
      </w:r>
      <w:r w:rsidRPr="00215290">
        <w:rPr>
          <w:sz w:val="28"/>
          <w:szCs w:val="28"/>
        </w:rPr>
        <w:lastRenderedPageBreak/>
        <w:t>Venezia Giulia e Trentino-Alto Adige).</w:t>
      </w:r>
      <w:r w:rsidR="00215290">
        <w:rPr>
          <w:sz w:val="28"/>
          <w:szCs w:val="28"/>
        </w:rPr>
        <w:t xml:space="preserve"> </w:t>
      </w:r>
      <w:r w:rsidRPr="00215290">
        <w:rPr>
          <w:sz w:val="28"/>
          <w:szCs w:val="28"/>
        </w:rPr>
        <w:t xml:space="preserve">Nell’Almanacco vengono fornite anche queste ulteriori informazioni: In Francia il rapporto medio della superficie boschiva </w:t>
      </w:r>
      <w:proofErr w:type="gramStart"/>
      <w:r w:rsidRPr="00215290">
        <w:rPr>
          <w:sz w:val="28"/>
          <w:szCs w:val="28"/>
        </w:rPr>
        <w:t>colla</w:t>
      </w:r>
      <w:proofErr w:type="gramEnd"/>
      <w:r w:rsidRPr="00215290">
        <w:rPr>
          <w:sz w:val="28"/>
          <w:szCs w:val="28"/>
        </w:rPr>
        <w:t xml:space="preserve"> superficie totale è di millesimi 0,169 e in Belgio di 0,164. I suddetti ettari 4,220,773 di superficie boschiva italiana parte sono amministrativi, cioè 2,367,591, parte privati, cioè 1,853,182. In Francia la superficie boschiva di ettari 8,985,970 dividesi in 2,869,256 amministrativi, e 6,116,714 privati.</w:t>
      </w:r>
      <w:r w:rsidR="00215290">
        <w:rPr>
          <w:sz w:val="28"/>
          <w:szCs w:val="28"/>
        </w:rPr>
        <w:t xml:space="preserve"> </w:t>
      </w:r>
      <w:r w:rsidR="00215290" w:rsidRPr="00215290">
        <w:rPr>
          <w:sz w:val="28"/>
          <w:szCs w:val="28"/>
        </w:rPr>
        <w:t>Concludo riportando un altro brano dell’Almanacco del 1865 dove si parla del sempre difficile rapporto tra l’uomo e l’ambiente che lo circonda. Così lo vedeva il Professor Francesco Berlan nel lontano 1865.</w:t>
      </w:r>
      <w:r w:rsidR="00215290">
        <w:rPr>
          <w:sz w:val="28"/>
          <w:szCs w:val="28"/>
        </w:rPr>
        <w:t xml:space="preserve"> </w:t>
      </w:r>
      <w:r w:rsidR="00215290" w:rsidRPr="00215290">
        <w:rPr>
          <w:sz w:val="28"/>
          <w:szCs w:val="28"/>
        </w:rPr>
        <w:t>BONIFICHE. Contrade nel Napoletano che hanno bisogno di un energico sistema di bonifiche.</w:t>
      </w:r>
      <w:r w:rsidR="00215290">
        <w:rPr>
          <w:sz w:val="28"/>
          <w:szCs w:val="28"/>
        </w:rPr>
        <w:t xml:space="preserve"> </w:t>
      </w:r>
      <w:r w:rsidR="00215290" w:rsidRPr="00215290">
        <w:rPr>
          <w:sz w:val="28"/>
          <w:szCs w:val="28"/>
        </w:rPr>
        <w:t>Senza parlare dell’alta Italia e delle Maremme Toscane, ove grandissimi lavori si sono fatti a grande vantaggio dell’agricoltura e della prosperità italiana, parleremo di ciò che riguarda il Napoletano.</w:t>
      </w:r>
      <w:r w:rsidR="00215290">
        <w:rPr>
          <w:sz w:val="28"/>
          <w:szCs w:val="28"/>
        </w:rPr>
        <w:t xml:space="preserve"> </w:t>
      </w:r>
      <w:r w:rsidR="00215290" w:rsidRPr="00215290">
        <w:rPr>
          <w:sz w:val="28"/>
          <w:szCs w:val="28"/>
        </w:rPr>
        <w:t xml:space="preserve">Abbiamo tutta la vallata della Pescara, ove una strada ferrata è già in esercizio, ed ove le stesse opere della sua costruzione si sarebbero potute fare </w:t>
      </w:r>
      <w:proofErr w:type="gramStart"/>
      <w:r w:rsidR="00215290" w:rsidRPr="00215290">
        <w:rPr>
          <w:sz w:val="28"/>
          <w:szCs w:val="28"/>
        </w:rPr>
        <w:t>colla</w:t>
      </w:r>
      <w:proofErr w:type="gramEnd"/>
      <w:r w:rsidR="00215290" w:rsidRPr="00215290">
        <w:rPr>
          <w:sz w:val="28"/>
          <w:szCs w:val="28"/>
        </w:rPr>
        <w:t xml:space="preserve"> massima economia, se un sistema di bonifiche fosse stato anticipatamente adottato per quelle contrade con un opportuno inalveamento de’ fiumi e col prosciugamento dei tanti terreni paludosi. Abbiamo nel Jonio tutta la vallata del Basento, del Bradanno, del Sinni, che comprendono territori immensi e fertilissimi, tra cui quello di Policoro fino all’ Amendolara, i quali presentano una immensa estensione che sarà solcata dalle strade ferrate, e certamente se là si fosse adottato un sistema di bonificamento, se si fossero spesi due o tre milioni, è certo che la concessione delle strade ferrate ci avrebbe prodotto una economia dai 30 ai 40 milioni. Tutti quei torrenti, che l’incuria dei passati governi aveva abbandonati a loro stessi, hanno solcato più alvei nello sfrenato corso delle loro acque, si sono ripartiti in varie diramazioni, lasciando paludi considerevoli, ove le società concessionarie sono obbligate a fare immensi e costosi lavori.</w:t>
      </w:r>
      <w:r w:rsidR="00215290">
        <w:rPr>
          <w:sz w:val="28"/>
          <w:szCs w:val="28"/>
        </w:rPr>
        <w:t xml:space="preserve"> </w:t>
      </w:r>
      <w:r w:rsidR="00215290" w:rsidRPr="00215290">
        <w:rPr>
          <w:sz w:val="28"/>
          <w:szCs w:val="28"/>
        </w:rPr>
        <w:t>Abbiamo tutta la vallata della Cuati, una vallata di 36 miglia, nella quale le acque, abbandonate a sè stesse, non solo impediscono lo sviluppo dell’agricoltura, perché impediscono la permanenza dei coltivatori sul luogo, ma sono causa di grandi spese per la costruzione delle strade ferrate.</w:t>
      </w:r>
      <w:r w:rsidR="00215290">
        <w:rPr>
          <w:sz w:val="28"/>
          <w:szCs w:val="28"/>
        </w:rPr>
        <w:t xml:space="preserve"> </w:t>
      </w:r>
      <w:r w:rsidR="00215290" w:rsidRPr="00215290">
        <w:rPr>
          <w:sz w:val="28"/>
          <w:szCs w:val="28"/>
        </w:rPr>
        <w:t>Abbiamo tutte le marine di Cotrone, tutte le paludi d’ Isola bagnate dal Neto, tutto il terreno da Capo Leuca a Capo Spartivento. Nel Tirreno la vallata del torrente Lao, che scende da Basilicata fra Scalea e Belvedere; abbiamo anche tutte le campagne di Pesto; tutto il Salernitano; abbiamo anche in Calabria tutto il territorio che si estende fra Nicastro ed il Pizzo.</w:t>
      </w:r>
      <w:r w:rsidR="00215290" w:rsidRPr="00215290">
        <w:rPr>
          <w:sz w:val="28"/>
          <w:szCs w:val="28"/>
        </w:rPr>
        <w:t xml:space="preserve"> </w:t>
      </w:r>
      <w:r w:rsidR="00215290" w:rsidRPr="00215290">
        <w:rPr>
          <w:sz w:val="28"/>
          <w:szCs w:val="28"/>
        </w:rPr>
        <w:t>Questi sono i punti più fertili di tutte le campagne italiane.</w:t>
      </w:r>
      <w:r w:rsidR="00215290">
        <w:rPr>
          <w:sz w:val="28"/>
          <w:szCs w:val="28"/>
        </w:rPr>
        <w:t xml:space="preserve"> </w:t>
      </w:r>
      <w:r w:rsidR="00215290" w:rsidRPr="00215290">
        <w:rPr>
          <w:sz w:val="28"/>
          <w:szCs w:val="28"/>
        </w:rPr>
        <w:t>Tutti questi siti ora noverati sono quelli che in oggi sono stati adattati sopratutto alla coltivazione del cotone, e la massima parte di essi non possono dare quei risultati che sono necessari alla prosperità d’Italia, precisamente per un mancato sistema di bonifiche (Plutino. Camera dei deputati, anno 1864, foglio 668).</w:t>
      </w:r>
      <w:r w:rsidR="00215290" w:rsidRPr="00215290">
        <w:rPr>
          <w:sz w:val="28"/>
          <w:szCs w:val="28"/>
        </w:rPr>
        <w:t xml:space="preserve"> </w:t>
      </w:r>
      <w:hyperlink r:id="rId10" w:history="1">
        <w:r w:rsidR="00215290" w:rsidRPr="00215290">
          <w:rPr>
            <w:rStyle w:val="Collegamentoipertestuale"/>
            <w:sz w:val="28"/>
            <w:szCs w:val="28"/>
          </w:rPr>
          <w:t>https://www.italiauomoambiente.it/?p=480557</w:t>
        </w:r>
      </w:hyperlink>
      <w:r w:rsidR="00215290" w:rsidRPr="00215290">
        <w:rPr>
          <w:sz w:val="28"/>
          <w:szCs w:val="28"/>
        </w:rPr>
        <w:t xml:space="preserve">. </w:t>
      </w:r>
    </w:p>
    <w:p w14:paraId="5AA9BA8A" w14:textId="43E918EB" w:rsidR="004B585D" w:rsidRDefault="004B585D" w:rsidP="00215290">
      <w:pPr>
        <w:spacing w:after="0" w:line="240" w:lineRule="auto"/>
        <w:jc w:val="both"/>
      </w:pPr>
    </w:p>
    <w:sectPr w:rsidR="004B585D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F0204"/>
    <w:rsid w:val="00215290"/>
    <w:rsid w:val="0031062F"/>
    <w:rsid w:val="003605E3"/>
    <w:rsid w:val="00375F4B"/>
    <w:rsid w:val="003811E4"/>
    <w:rsid w:val="004B585D"/>
    <w:rsid w:val="005F0204"/>
    <w:rsid w:val="00653982"/>
    <w:rsid w:val="00C71CAA"/>
    <w:rsid w:val="00D544E6"/>
    <w:rsid w:val="00E84EF4"/>
    <w:rsid w:val="00EF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1270A"/>
  <w15:chartTrackingRefBased/>
  <w15:docId w15:val="{EDEE3F33-FE24-4842-A28D-CCE81F2EE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F02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F02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F020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F02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F020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F02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F02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F02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F02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F020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F020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F020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F0204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F0204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F020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F020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020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F020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F02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F02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F020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F02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F02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F020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F020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F0204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F020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F0204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F0204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4B585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B585D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4B585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gitale-sammlungen.de/de/view/bsb10076971?page=10,1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ooks.google.it/books?id=ZRQuAAAAcAAJ&amp;printsec=frontcover&amp;hl=it&amp;source=gbs_ge_summary_r&amp;cad=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raidense.it/risorse/dj.php?bib=IT-MI0185&amp;ser=PER&amp;inv=30629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www.italiauomoambiente.it/?p=480557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lombardiabeniculturali.it/pereco/schede/39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1172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2026-07-23T05:53:00Z</dcterms:created>
  <dcterms:modified xsi:type="dcterms:W3CDTF">2026-07-23T06:11:00Z</dcterms:modified>
</cp:coreProperties>
</file>