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ABEC7" w14:textId="621B80DC" w:rsidR="00F6146D" w:rsidRPr="00427690" w:rsidRDefault="00F6146D" w:rsidP="00BC61C3">
      <w:pPr>
        <w:spacing w:after="0" w:line="240" w:lineRule="auto"/>
        <w:jc w:val="both"/>
        <w:rPr>
          <w:rFonts w:cstheme="minorHAnsi"/>
          <w:bCs/>
          <w:i/>
          <w:iCs/>
          <w:sz w:val="16"/>
          <w:szCs w:val="16"/>
        </w:rPr>
      </w:pPr>
      <w:r>
        <w:rPr>
          <w:rFonts w:cstheme="minorHAnsi"/>
          <w:b/>
          <w:color w:val="C00000"/>
          <w:sz w:val="44"/>
          <w:szCs w:val="44"/>
        </w:rPr>
        <w:t>XU205</w:t>
      </w:r>
      <w:r>
        <w:rPr>
          <w:rFonts w:cstheme="minorHAnsi"/>
          <w:b/>
          <w:color w:val="C00000"/>
          <w:sz w:val="44"/>
          <w:szCs w:val="44"/>
        </w:rPr>
        <w:t>2</w:t>
      </w:r>
      <w:r>
        <w:rPr>
          <w:rFonts w:cstheme="minorHAnsi"/>
          <w:b/>
          <w:color w:val="C00000"/>
          <w:sz w:val="44"/>
          <w:szCs w:val="44"/>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t>scheda creata il</w:t>
      </w:r>
      <w:r>
        <w:rPr>
          <w:rFonts w:cstheme="minorHAnsi"/>
          <w:bCs/>
          <w:i/>
          <w:iCs/>
          <w:sz w:val="16"/>
          <w:szCs w:val="16"/>
        </w:rPr>
        <w:t xml:space="preserve"> 15 ottobre</w:t>
      </w:r>
      <w:r w:rsidRPr="00427690">
        <w:rPr>
          <w:rFonts w:cstheme="minorHAnsi"/>
          <w:bCs/>
          <w:i/>
          <w:iCs/>
          <w:sz w:val="16"/>
          <w:szCs w:val="16"/>
        </w:rPr>
        <w:t xml:space="preserve"> 2026</w:t>
      </w:r>
    </w:p>
    <w:p w14:paraId="54B5C9CF" w14:textId="77777777" w:rsidR="00F6146D" w:rsidRDefault="00F6146D" w:rsidP="00BC61C3">
      <w:pPr>
        <w:spacing w:after="0" w:line="240" w:lineRule="auto"/>
        <w:jc w:val="both"/>
        <w:rPr>
          <w:rFonts w:cstheme="minorHAnsi"/>
          <w:b/>
          <w:color w:val="C00000"/>
          <w:sz w:val="44"/>
          <w:szCs w:val="44"/>
        </w:rPr>
      </w:pPr>
      <w:r w:rsidRPr="00427690">
        <w:rPr>
          <w:rFonts w:cstheme="minorHAnsi"/>
          <w:b/>
          <w:color w:val="C00000"/>
          <w:sz w:val="44"/>
          <w:szCs w:val="44"/>
        </w:rPr>
        <w:t xml:space="preserve">Descrizione </w:t>
      </w:r>
      <w:r>
        <w:rPr>
          <w:rFonts w:cstheme="minorHAnsi"/>
          <w:b/>
          <w:color w:val="C00000"/>
          <w:sz w:val="44"/>
          <w:szCs w:val="44"/>
        </w:rPr>
        <w:t>storico-</w:t>
      </w:r>
      <w:r w:rsidRPr="00427690">
        <w:rPr>
          <w:rFonts w:cstheme="minorHAnsi"/>
          <w:b/>
          <w:color w:val="C00000"/>
          <w:sz w:val="44"/>
          <w:szCs w:val="44"/>
        </w:rPr>
        <w:t>bibliografica</w:t>
      </w:r>
    </w:p>
    <w:p w14:paraId="3161A942" w14:textId="58E3FB7E" w:rsidR="0031062F" w:rsidRPr="00BC61C3" w:rsidRDefault="00F6146D" w:rsidP="00BC61C3">
      <w:pPr>
        <w:spacing w:after="0" w:line="240" w:lineRule="auto"/>
        <w:jc w:val="both"/>
        <w:rPr>
          <w:sz w:val="32"/>
          <w:szCs w:val="32"/>
        </w:rPr>
      </w:pPr>
      <w:r w:rsidRPr="00BC61C3">
        <w:rPr>
          <w:sz w:val="32"/>
          <w:szCs w:val="32"/>
        </w:rPr>
        <w:t>*</w:t>
      </w:r>
      <w:r w:rsidRPr="00BC61C3">
        <w:rPr>
          <w:b/>
          <w:bCs/>
          <w:sz w:val="32"/>
          <w:szCs w:val="32"/>
        </w:rPr>
        <w:t>Nuovo almanacco delle dame</w:t>
      </w:r>
      <w:r w:rsidRPr="00BC61C3">
        <w:rPr>
          <w:sz w:val="32"/>
          <w:szCs w:val="32"/>
        </w:rPr>
        <w:t xml:space="preserve">. - </w:t>
      </w:r>
      <w:proofErr w:type="gramStart"/>
      <w:r w:rsidRPr="00BC61C3">
        <w:rPr>
          <w:sz w:val="32"/>
          <w:szCs w:val="32"/>
        </w:rPr>
        <w:t>Genova :</w:t>
      </w:r>
      <w:proofErr w:type="gramEnd"/>
      <w:r w:rsidRPr="00BC61C3">
        <w:rPr>
          <w:sz w:val="32"/>
          <w:szCs w:val="32"/>
        </w:rPr>
        <w:t xml:space="preserve"> </w:t>
      </w:r>
      <w:proofErr w:type="spellStart"/>
      <w:r w:rsidRPr="00BC61C3">
        <w:rPr>
          <w:sz w:val="32"/>
          <w:szCs w:val="32"/>
        </w:rPr>
        <w:t>Ponthenier</w:t>
      </w:r>
      <w:proofErr w:type="spellEnd"/>
      <w:r w:rsidRPr="00BC61C3">
        <w:rPr>
          <w:sz w:val="32"/>
          <w:szCs w:val="32"/>
        </w:rPr>
        <w:t xml:space="preserve">, 1826-1829. - 4 </w:t>
      </w:r>
      <w:proofErr w:type="gramStart"/>
      <w:r w:rsidRPr="00BC61C3">
        <w:rPr>
          <w:sz w:val="32"/>
          <w:szCs w:val="32"/>
        </w:rPr>
        <w:t>v</w:t>
      </w:r>
      <w:r w:rsidRPr="00BC61C3">
        <w:rPr>
          <w:sz w:val="32"/>
          <w:szCs w:val="32"/>
        </w:rPr>
        <w:t>olumi</w:t>
      </w:r>
      <w:r w:rsidRPr="00BC61C3">
        <w:rPr>
          <w:sz w:val="32"/>
          <w:szCs w:val="32"/>
        </w:rPr>
        <w:t xml:space="preserve"> ;</w:t>
      </w:r>
      <w:proofErr w:type="gramEnd"/>
      <w:r w:rsidRPr="00BC61C3">
        <w:rPr>
          <w:sz w:val="32"/>
          <w:szCs w:val="32"/>
        </w:rPr>
        <w:t xml:space="preserve"> 24°. </w:t>
      </w:r>
      <w:r w:rsidRPr="00BC61C3">
        <w:rPr>
          <w:sz w:val="32"/>
          <w:szCs w:val="32"/>
        </w:rPr>
        <w:t>((Annuale</w:t>
      </w:r>
      <w:r w:rsidRPr="00BC61C3">
        <w:rPr>
          <w:sz w:val="32"/>
          <w:szCs w:val="32"/>
        </w:rPr>
        <w:t>.</w:t>
      </w:r>
      <w:r w:rsidRPr="00BC61C3">
        <w:rPr>
          <w:sz w:val="32"/>
          <w:szCs w:val="32"/>
        </w:rPr>
        <w:t xml:space="preserve"> - </w:t>
      </w:r>
      <w:r w:rsidRPr="00BC61C3">
        <w:rPr>
          <w:sz w:val="32"/>
          <w:szCs w:val="32"/>
        </w:rPr>
        <w:t>GMP0034385</w:t>
      </w:r>
    </w:p>
    <w:p w14:paraId="477D266F" w14:textId="4FE626D6" w:rsidR="00F6146D" w:rsidRPr="00BC61C3" w:rsidRDefault="00F6146D" w:rsidP="00BC61C3">
      <w:pPr>
        <w:spacing w:after="0" w:line="240" w:lineRule="auto"/>
        <w:jc w:val="both"/>
        <w:rPr>
          <w:sz w:val="32"/>
          <w:szCs w:val="32"/>
        </w:rPr>
      </w:pPr>
      <w:r w:rsidRPr="00BC61C3">
        <w:rPr>
          <w:sz w:val="32"/>
          <w:szCs w:val="32"/>
        </w:rPr>
        <w:t>Titolo della copertina (anno 1827)</w:t>
      </w:r>
      <w:r w:rsidRPr="00BC61C3">
        <w:rPr>
          <w:sz w:val="32"/>
          <w:szCs w:val="32"/>
        </w:rPr>
        <w:t>: *</w:t>
      </w:r>
      <w:r w:rsidRPr="00BC61C3">
        <w:rPr>
          <w:sz w:val="32"/>
          <w:szCs w:val="32"/>
        </w:rPr>
        <w:t>Almanacco per le dame</w:t>
      </w:r>
    </w:p>
    <w:p w14:paraId="25C4D30B" w14:textId="6FA2A08A" w:rsidR="00F6146D" w:rsidRPr="00BC61C3" w:rsidRDefault="00F6146D" w:rsidP="00BC61C3">
      <w:pPr>
        <w:spacing w:after="0" w:line="240" w:lineRule="auto"/>
        <w:jc w:val="both"/>
        <w:rPr>
          <w:sz w:val="32"/>
          <w:szCs w:val="32"/>
        </w:rPr>
      </w:pPr>
      <w:r w:rsidRPr="00BC61C3">
        <w:rPr>
          <w:sz w:val="32"/>
          <w:szCs w:val="32"/>
        </w:rPr>
        <w:t xml:space="preserve">Editore: </w:t>
      </w:r>
      <w:proofErr w:type="spellStart"/>
      <w:r w:rsidRPr="00BC61C3">
        <w:rPr>
          <w:sz w:val="32"/>
          <w:szCs w:val="32"/>
        </w:rPr>
        <w:t>Ponthenier</w:t>
      </w:r>
      <w:proofErr w:type="spellEnd"/>
    </w:p>
    <w:p w14:paraId="7CBC5203" w14:textId="1B18BB4C" w:rsidR="001558DC" w:rsidRPr="00BC61C3" w:rsidRDefault="001558DC" w:rsidP="00BC61C3">
      <w:pPr>
        <w:spacing w:after="0" w:line="240" w:lineRule="auto"/>
        <w:jc w:val="both"/>
        <w:rPr>
          <w:sz w:val="32"/>
          <w:szCs w:val="32"/>
        </w:rPr>
      </w:pPr>
      <w:r w:rsidRPr="00BC61C3">
        <w:rPr>
          <w:sz w:val="32"/>
          <w:szCs w:val="32"/>
        </w:rPr>
        <w:t xml:space="preserve">Soggetto: Almanacchi femminili – Genova – 1826-1829; </w:t>
      </w:r>
      <w:r w:rsidRPr="00BC61C3">
        <w:rPr>
          <w:sz w:val="32"/>
          <w:szCs w:val="32"/>
        </w:rPr>
        <w:t>Poesia dialettale ligure - Autori genovesi</w:t>
      </w:r>
      <w:r w:rsidRPr="00BC61C3">
        <w:rPr>
          <w:sz w:val="32"/>
          <w:szCs w:val="32"/>
        </w:rPr>
        <w:t xml:space="preserve"> – 1826-1829</w:t>
      </w:r>
    </w:p>
    <w:p w14:paraId="2A87F4B9" w14:textId="77777777" w:rsidR="00BC61C3" w:rsidRPr="00BC61C3" w:rsidRDefault="00BC61C3" w:rsidP="00BC61C3">
      <w:pPr>
        <w:spacing w:after="0" w:line="240" w:lineRule="auto"/>
        <w:jc w:val="both"/>
        <w:rPr>
          <w:sz w:val="32"/>
          <w:szCs w:val="32"/>
        </w:rPr>
      </w:pPr>
    </w:p>
    <w:p w14:paraId="6B139AFA" w14:textId="6CB45D0C" w:rsidR="00BC61C3" w:rsidRPr="00BC61C3" w:rsidRDefault="00BC61C3" w:rsidP="00BC61C3">
      <w:pPr>
        <w:spacing w:after="0" w:line="240" w:lineRule="auto"/>
        <w:jc w:val="both"/>
        <w:rPr>
          <w:sz w:val="32"/>
          <w:szCs w:val="32"/>
        </w:rPr>
      </w:pPr>
      <w:r w:rsidRPr="00BC61C3">
        <w:rPr>
          <w:sz w:val="32"/>
          <w:szCs w:val="32"/>
        </w:rPr>
        <w:t xml:space="preserve">Il </w:t>
      </w:r>
      <w:r w:rsidRPr="00BC61C3">
        <w:rPr>
          <w:sz w:val="32"/>
          <w:szCs w:val="32"/>
        </w:rPr>
        <w:t>*</w:t>
      </w:r>
      <w:proofErr w:type="gramStart"/>
      <w:r w:rsidRPr="00BC61C3">
        <w:rPr>
          <w:b/>
          <w:bCs/>
          <w:sz w:val="32"/>
          <w:szCs w:val="32"/>
        </w:rPr>
        <w:t>Colombo</w:t>
      </w:r>
      <w:r w:rsidRPr="00BC61C3">
        <w:rPr>
          <w:b/>
          <w:bCs/>
          <w:sz w:val="32"/>
          <w:szCs w:val="32"/>
        </w:rPr>
        <w:t xml:space="preserve"> :</w:t>
      </w:r>
      <w:proofErr w:type="gramEnd"/>
      <w:r w:rsidRPr="00BC61C3">
        <w:rPr>
          <w:sz w:val="32"/>
          <w:szCs w:val="32"/>
        </w:rPr>
        <w:t xml:space="preserve"> </w:t>
      </w:r>
      <w:r w:rsidRPr="00BC61C3">
        <w:rPr>
          <w:sz w:val="32"/>
          <w:szCs w:val="32"/>
        </w:rPr>
        <w:t>g</w:t>
      </w:r>
      <w:r w:rsidRPr="00BC61C3">
        <w:rPr>
          <w:sz w:val="32"/>
          <w:szCs w:val="32"/>
        </w:rPr>
        <w:t>iornale di teatri</w:t>
      </w:r>
      <w:r w:rsidRPr="00BC61C3">
        <w:rPr>
          <w:sz w:val="32"/>
          <w:szCs w:val="32"/>
        </w:rPr>
        <w:t xml:space="preserve">. – N. 1 (aprile </w:t>
      </w:r>
      <w:proofErr w:type="gramStart"/>
      <w:r w:rsidRPr="00BC61C3">
        <w:rPr>
          <w:sz w:val="32"/>
          <w:szCs w:val="32"/>
        </w:rPr>
        <w:t>1836)-</w:t>
      </w:r>
      <w:proofErr w:type="gramEnd"/>
      <w:r w:rsidRPr="00BC61C3">
        <w:rPr>
          <w:sz w:val="32"/>
          <w:szCs w:val="32"/>
        </w:rPr>
        <w:t xml:space="preserve">  </w:t>
      </w:r>
      <w:proofErr w:type="gramStart"/>
      <w:r w:rsidRPr="00BC61C3">
        <w:rPr>
          <w:sz w:val="32"/>
          <w:szCs w:val="32"/>
        </w:rPr>
        <w:t xml:space="preserve">  .</w:t>
      </w:r>
      <w:proofErr w:type="gramEnd"/>
      <w:r w:rsidRPr="00BC61C3">
        <w:rPr>
          <w:sz w:val="32"/>
          <w:szCs w:val="32"/>
        </w:rPr>
        <w:t xml:space="preserve"> - </w:t>
      </w:r>
      <w:proofErr w:type="gramStart"/>
      <w:r w:rsidRPr="00BC61C3">
        <w:rPr>
          <w:sz w:val="32"/>
          <w:szCs w:val="32"/>
        </w:rPr>
        <w:t>Genova :</w:t>
      </w:r>
      <w:proofErr w:type="gramEnd"/>
      <w:r w:rsidRPr="00BC61C3">
        <w:rPr>
          <w:sz w:val="32"/>
          <w:szCs w:val="32"/>
        </w:rPr>
        <w:t xml:space="preserve"> [s.n., 1836]. – 2 fasc.</w:t>
      </w:r>
      <w:r w:rsidRPr="00BC61C3">
        <w:rPr>
          <w:sz w:val="32"/>
          <w:szCs w:val="32"/>
        </w:rPr>
        <w:t xml:space="preserve"> </w:t>
      </w:r>
      <w:r w:rsidRPr="00BC61C3">
        <w:rPr>
          <w:sz w:val="32"/>
          <w:szCs w:val="32"/>
        </w:rPr>
        <w:t>((B</w:t>
      </w:r>
      <w:r w:rsidRPr="00BC61C3">
        <w:rPr>
          <w:sz w:val="32"/>
          <w:szCs w:val="32"/>
        </w:rPr>
        <w:t>isettimanale di divulgazione culturale</w:t>
      </w:r>
    </w:p>
    <w:p w14:paraId="059AD7E0" w14:textId="60E2D0DC" w:rsidR="00BC61C3" w:rsidRPr="00BC61C3" w:rsidRDefault="00BC61C3" w:rsidP="00BC61C3">
      <w:pPr>
        <w:spacing w:after="0" w:line="240" w:lineRule="auto"/>
        <w:jc w:val="both"/>
        <w:rPr>
          <w:sz w:val="32"/>
          <w:szCs w:val="32"/>
        </w:rPr>
      </w:pPr>
      <w:r w:rsidRPr="00BC61C3">
        <w:rPr>
          <w:sz w:val="32"/>
          <w:szCs w:val="32"/>
        </w:rPr>
        <w:t>Soggetto: Cultura – Genova – 1836</w:t>
      </w:r>
    </w:p>
    <w:p w14:paraId="4E9D57BD" w14:textId="77777777" w:rsidR="00BC61C3" w:rsidRDefault="00BC61C3" w:rsidP="00BC61C3">
      <w:pPr>
        <w:spacing w:after="0" w:line="240" w:lineRule="auto"/>
        <w:jc w:val="both"/>
      </w:pPr>
    </w:p>
    <w:p w14:paraId="50807000" w14:textId="77777777" w:rsidR="00F6146D" w:rsidRPr="000664C8" w:rsidRDefault="00F6146D" w:rsidP="00BC61C3">
      <w:pPr>
        <w:spacing w:after="0" w:line="240" w:lineRule="auto"/>
        <w:jc w:val="both"/>
        <w:rPr>
          <w:rFonts w:cstheme="minorHAnsi"/>
          <w:b/>
          <w:color w:val="C00000"/>
          <w:sz w:val="44"/>
          <w:szCs w:val="44"/>
        </w:rPr>
      </w:pPr>
      <w:r w:rsidRPr="000664C8">
        <w:rPr>
          <w:rFonts w:cstheme="minorHAnsi"/>
          <w:b/>
          <w:color w:val="C00000"/>
          <w:sz w:val="44"/>
          <w:szCs w:val="44"/>
        </w:rPr>
        <w:t>Informazioni storico-bibliografiche</w:t>
      </w:r>
    </w:p>
    <w:p w14:paraId="78B846C8" w14:textId="0F21765E" w:rsidR="00F6146D" w:rsidRDefault="00F6146D" w:rsidP="00BC61C3">
      <w:pPr>
        <w:spacing w:after="0" w:line="240" w:lineRule="auto"/>
        <w:jc w:val="both"/>
        <w:rPr>
          <w:i/>
          <w:iCs/>
        </w:rPr>
      </w:pPr>
      <w:r w:rsidRPr="00F6146D">
        <w:t xml:space="preserve">Felice Romani collabora anche con altri giornali come la «Strenna genovese pubblicata da Giacomo Cevasco a beneficio della Scuola Infantile di S. </w:t>
      </w:r>
      <w:proofErr w:type="gramStart"/>
      <w:r w:rsidRPr="00F6146D">
        <w:t>Sofia »</w:t>
      </w:r>
      <w:proofErr w:type="gramEnd"/>
      <w:r w:rsidRPr="00F6146D">
        <w:t xml:space="preserve"> (1842), e «Memorie e speranze. Strenna per l’anno 1852 alle donne </w:t>
      </w:r>
      <w:proofErr w:type="gramStart"/>
      <w:r w:rsidRPr="00F6146D">
        <w:t>italiane »</w:t>
      </w:r>
      <w:proofErr w:type="gramEnd"/>
      <w:r w:rsidRPr="00F6146D">
        <w:t xml:space="preserve"> (1852), per la quale compone alcune liriche, ma, come si nota, solo negli anni successivi all’inaugurazione del Carlo Felice 8. Rispetto alla storia del teatro lirico genovese è da segnalare il «</w:t>
      </w:r>
      <w:r w:rsidRPr="00F6146D">
        <w:rPr>
          <w:b/>
          <w:bCs/>
        </w:rPr>
        <w:t>Nuovo almanacco delle Dame</w:t>
      </w:r>
      <w:r w:rsidRPr="00F6146D">
        <w:t xml:space="preserve">», il cui primo numero, pubblicato nel 1826 (oggi perduto), </w:t>
      </w:r>
      <w:proofErr w:type="gramStart"/>
      <w:r w:rsidRPr="00F6146D">
        <w:t>« conteneva</w:t>
      </w:r>
      <w:proofErr w:type="gramEnd"/>
      <w:r w:rsidRPr="00F6146D">
        <w:t xml:space="preserve"> alcune poesie in dialetto genovese sul nuovo Teatro Carlo </w:t>
      </w:r>
      <w:proofErr w:type="gramStart"/>
      <w:r w:rsidRPr="00F6146D">
        <w:t>Felice »</w:t>
      </w:r>
      <w:proofErr w:type="gramEnd"/>
      <w:r w:rsidRPr="00F6146D">
        <w:t xml:space="preserve"> allora in fase di costruzione 9. Sulle pagine dello stesso periodico, qualche anno più tardi, Felice Romani pubblicherà la lirica La Rosa 10. In questo contesto occorre infine citare un periodico che in qualche modo trova la sua ragione d’essere proprio nella storia del Carlo Felice: «Il Colombo. Giornale di teatri», un bisettimanale di divulgazione culturale, fondato nell’aprile 1836 e pubblicato per soli due numeri, che secondo Roberto Beccaria trae ispirazione dall’opera seria Colombo, scritta proprio da Romani e musicata dal compositore perugino Francesco Morlacchi in occasione della stagione inaugurale 11. Il quadro variegato ma in fondo non molto ricco dell’editoria periodica genovese del tempo qualifica da sé la rilevanza della </w:t>
      </w:r>
      <w:proofErr w:type="gramStart"/>
      <w:r w:rsidRPr="00F6146D">
        <w:t>« Gazzetta</w:t>
      </w:r>
      <w:proofErr w:type="gramEnd"/>
      <w:r w:rsidRPr="00F6146D">
        <w:t xml:space="preserve"> di </w:t>
      </w:r>
      <w:proofErr w:type="gramStart"/>
      <w:r w:rsidRPr="00F6146D">
        <w:t>Genova »</w:t>
      </w:r>
      <w:proofErr w:type="gramEnd"/>
      <w:r w:rsidRPr="00F6146D">
        <w:t xml:space="preserve"> che, per continuità editoriale e periodicità abbastanza serrata, si presenta come fonte insostituibile.</w:t>
      </w:r>
      <w:r>
        <w:t xml:space="preserve"> </w:t>
      </w:r>
      <w:hyperlink r:id="rId6" w:history="1">
        <w:r w:rsidRPr="00F6146D">
          <w:rPr>
            <w:rStyle w:val="Collegamentoipertestuale"/>
            <w:i/>
            <w:iCs/>
          </w:rPr>
          <w:t xml:space="preserve">Simone Dragone, </w:t>
        </w:r>
        <w:r w:rsidRPr="00F6146D">
          <w:rPr>
            <w:rStyle w:val="Collegamentoipertestuale"/>
            <w:i/>
            <w:iCs/>
          </w:rPr>
          <w:t>La stagione inaugurale del Teatro Carlo Felice: una ricostruzione critica dalle cronache della «Gazzetta di Genova»</w:t>
        </w:r>
        <w:r w:rsidRPr="00F6146D">
          <w:rPr>
            <w:rStyle w:val="Collegamentoipertestuale"/>
            <w:i/>
            <w:iCs/>
          </w:rPr>
          <w:t>.</w:t>
        </w:r>
        <w:r w:rsidRPr="00F6146D">
          <w:rPr>
            <w:rStyle w:val="Collegamentoipertestuale"/>
            <w:i/>
            <w:iCs/>
          </w:rPr>
          <w:t xml:space="preserve"> Atti della Società Ligure di Storia Patria, n.s., LXIII (2023) DOI 10.5281/zenodo.10119363 simone.dragone@edu.unige.i</w:t>
        </w:r>
        <w:r w:rsidRPr="00F6146D">
          <w:rPr>
            <w:rStyle w:val="Collegamentoipertestuale"/>
            <w:i/>
            <w:iCs/>
          </w:rPr>
          <w:t xml:space="preserve"> P.179</w:t>
        </w:r>
      </w:hyperlink>
    </w:p>
    <w:p w14:paraId="78186F6E" w14:textId="77777777" w:rsidR="00B17722" w:rsidRDefault="00B17722" w:rsidP="00BC61C3">
      <w:pPr>
        <w:spacing w:after="0" w:line="240" w:lineRule="auto"/>
        <w:jc w:val="both"/>
        <w:rPr>
          <w:i/>
          <w:iCs/>
        </w:rPr>
      </w:pPr>
    </w:p>
    <w:p w14:paraId="7C3665DC" w14:textId="0EFDD19B" w:rsidR="00B17722" w:rsidRPr="00B17722" w:rsidRDefault="00B17722" w:rsidP="00BC61C3">
      <w:pPr>
        <w:spacing w:after="0" w:line="240" w:lineRule="auto"/>
        <w:jc w:val="both"/>
      </w:pPr>
      <w:r w:rsidRPr="00B17722">
        <w:t xml:space="preserve">A riprova dell’interesse dei genovesi anche per le cose non del tutto commerciali o di scagno è questo elenco di Almanacchi citato dalla nostra Gazzetta che si trovavano in vendita nelle librerie cittadine. Lunario Genovese di Reginna e Soci pel 1826, Nuovo Almanacco per le Dame (Tip. </w:t>
      </w:r>
      <w:proofErr w:type="spellStart"/>
      <w:r w:rsidRPr="00B17722">
        <w:t>Ponthenier</w:t>
      </w:r>
      <w:proofErr w:type="spellEnd"/>
      <w:r w:rsidRPr="00B17722">
        <w:t>), Almanacco del Ducato di Genova per l’anno 1826, Giornale per l’anno del Signore 1826 detto delle Quarant’ore (Stamperia Carniglia), Almanacco di Gota per l’anno 1826, Almanacco per i Dilettanti di Giardinaggio di Gaetano Savi.</w:t>
      </w:r>
      <w:r>
        <w:t xml:space="preserve"> </w:t>
      </w:r>
      <w:hyperlink r:id="rId7" w:history="1">
        <w:r w:rsidRPr="00B17722">
          <w:rPr>
            <w:rStyle w:val="Collegamentoipertestuale"/>
            <w:i/>
            <w:iCs/>
          </w:rPr>
          <w:t>CRONACA DI UN ANNO QUALSIASI, 1825 di Alessandro Pelleran</w:t>
        </w:r>
        <w:r w:rsidRPr="00B17722">
          <w:rPr>
            <w:rStyle w:val="Collegamentoipertestuale"/>
            <w:i/>
            <w:iCs/>
          </w:rPr>
          <w:t>o, In: A Compagna, n. 1 (2026), p.15</w:t>
        </w:r>
      </w:hyperlink>
    </w:p>
    <w:p w14:paraId="1CAF0BF7" w14:textId="77777777" w:rsidR="00F6146D" w:rsidRDefault="00F6146D" w:rsidP="00BC61C3">
      <w:pPr>
        <w:spacing w:after="0" w:line="240" w:lineRule="auto"/>
        <w:jc w:val="both"/>
      </w:pPr>
    </w:p>
    <w:p w14:paraId="1C93A400" w14:textId="19D462D3" w:rsidR="00F6146D" w:rsidRPr="00F6146D" w:rsidRDefault="00F6146D" w:rsidP="00BC61C3">
      <w:pPr>
        <w:spacing w:after="0" w:line="240" w:lineRule="auto"/>
        <w:jc w:val="both"/>
        <w:rPr>
          <w:b/>
          <w:bCs/>
          <w:color w:val="C00000"/>
          <w:sz w:val="44"/>
          <w:szCs w:val="44"/>
        </w:rPr>
      </w:pPr>
      <w:r w:rsidRPr="00F6146D">
        <w:rPr>
          <w:b/>
          <w:bCs/>
          <w:color w:val="C00000"/>
          <w:sz w:val="44"/>
          <w:szCs w:val="44"/>
        </w:rPr>
        <w:t>Riferimenti</w:t>
      </w:r>
      <w:r w:rsidRPr="00F6146D">
        <w:rPr>
          <w:b/>
          <w:bCs/>
          <w:color w:val="C00000"/>
          <w:sz w:val="44"/>
          <w:szCs w:val="44"/>
        </w:rPr>
        <w:t xml:space="preserve"> bibliografici</w:t>
      </w:r>
    </w:p>
    <w:p w14:paraId="0C04377A" w14:textId="56A00535" w:rsidR="00F6146D" w:rsidRDefault="00F6146D" w:rsidP="00BC61C3">
      <w:pPr>
        <w:pStyle w:val="Paragrafoelenco"/>
        <w:numPr>
          <w:ilvl w:val="0"/>
          <w:numId w:val="1"/>
        </w:numPr>
        <w:spacing w:after="0" w:line="240" w:lineRule="auto"/>
        <w:jc w:val="both"/>
      </w:pPr>
      <w:r w:rsidRPr="00F6146D">
        <w:t>Roberto Beccaria, I periodici genovesi dal 1473 al 1899, Genova, 1994, n. 965</w:t>
      </w:r>
    </w:p>
    <w:sectPr w:rsidR="00F6146D"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57FD3"/>
    <w:multiLevelType w:val="hybridMultilevel"/>
    <w:tmpl w:val="DED4150A"/>
    <w:lvl w:ilvl="0" w:tplc="6EC26D06">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15451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74798"/>
    <w:rsid w:val="001558DC"/>
    <w:rsid w:val="0031062F"/>
    <w:rsid w:val="003605E3"/>
    <w:rsid w:val="00375F4B"/>
    <w:rsid w:val="003811E4"/>
    <w:rsid w:val="00653982"/>
    <w:rsid w:val="00674B92"/>
    <w:rsid w:val="00A74798"/>
    <w:rsid w:val="00B17722"/>
    <w:rsid w:val="00BC61C3"/>
    <w:rsid w:val="00C71CAA"/>
    <w:rsid w:val="00D544E6"/>
    <w:rsid w:val="00E84EF4"/>
    <w:rsid w:val="00F614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9E186"/>
  <w15:chartTrackingRefBased/>
  <w15:docId w15:val="{57748FDA-C1E8-44EF-9F97-50D78738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7479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A7479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A74798"/>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A74798"/>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A74798"/>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A7479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7479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7479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7479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74798"/>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A74798"/>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A74798"/>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A74798"/>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A74798"/>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A7479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7479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7479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74798"/>
    <w:rPr>
      <w:rFonts w:eastAsiaTheme="majorEastAsia" w:cstheme="majorBidi"/>
      <w:color w:val="272727" w:themeColor="text1" w:themeTint="D8"/>
    </w:rPr>
  </w:style>
  <w:style w:type="paragraph" w:styleId="Titolo">
    <w:name w:val="Title"/>
    <w:basedOn w:val="Normale"/>
    <w:next w:val="Normale"/>
    <w:link w:val="TitoloCarattere"/>
    <w:uiPriority w:val="10"/>
    <w:qFormat/>
    <w:rsid w:val="00A747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7479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74798"/>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7479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74798"/>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74798"/>
    <w:rPr>
      <w:i/>
      <w:iCs/>
      <w:color w:val="404040" w:themeColor="text1" w:themeTint="BF"/>
    </w:rPr>
  </w:style>
  <w:style w:type="paragraph" w:styleId="Paragrafoelenco">
    <w:name w:val="List Paragraph"/>
    <w:basedOn w:val="Normale"/>
    <w:uiPriority w:val="34"/>
    <w:qFormat/>
    <w:rsid w:val="00A74798"/>
    <w:pPr>
      <w:ind w:left="720"/>
      <w:contextualSpacing/>
    </w:pPr>
  </w:style>
  <w:style w:type="character" w:styleId="Enfasiintensa">
    <w:name w:val="Intense Emphasis"/>
    <w:basedOn w:val="Carpredefinitoparagrafo"/>
    <w:uiPriority w:val="21"/>
    <w:qFormat/>
    <w:rsid w:val="00A74798"/>
    <w:rPr>
      <w:i/>
      <w:iCs/>
      <w:color w:val="365F91" w:themeColor="accent1" w:themeShade="BF"/>
    </w:rPr>
  </w:style>
  <w:style w:type="paragraph" w:styleId="Citazioneintensa">
    <w:name w:val="Intense Quote"/>
    <w:basedOn w:val="Normale"/>
    <w:next w:val="Normale"/>
    <w:link w:val="CitazioneintensaCarattere"/>
    <w:uiPriority w:val="30"/>
    <w:qFormat/>
    <w:rsid w:val="00A7479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A74798"/>
    <w:rPr>
      <w:i/>
      <w:iCs/>
      <w:color w:val="365F91" w:themeColor="accent1" w:themeShade="BF"/>
    </w:rPr>
  </w:style>
  <w:style w:type="character" w:styleId="Riferimentointenso">
    <w:name w:val="Intense Reference"/>
    <w:basedOn w:val="Carpredefinitoparagrafo"/>
    <w:uiPriority w:val="32"/>
    <w:qFormat/>
    <w:rsid w:val="00A74798"/>
    <w:rPr>
      <w:b/>
      <w:bCs/>
      <w:smallCaps/>
      <w:color w:val="365F91" w:themeColor="accent1" w:themeShade="BF"/>
      <w:spacing w:val="5"/>
    </w:rPr>
  </w:style>
  <w:style w:type="character" w:styleId="Collegamentoipertestuale">
    <w:name w:val="Hyperlink"/>
    <w:basedOn w:val="Carpredefinitoparagrafo"/>
    <w:uiPriority w:val="99"/>
    <w:unhideWhenUsed/>
    <w:rsid w:val="00F6146D"/>
    <w:rPr>
      <w:color w:val="0000FF" w:themeColor="hyperlink"/>
      <w:u w:val="single"/>
    </w:rPr>
  </w:style>
  <w:style w:type="character" w:styleId="Menzionenonrisolta">
    <w:name w:val="Unresolved Mention"/>
    <w:basedOn w:val="Carpredefinitoparagrafo"/>
    <w:uiPriority w:val="99"/>
    <w:semiHidden/>
    <w:unhideWhenUsed/>
    <w:rsid w:val="00F614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sa=i&amp;source=web&amp;rct=j&amp;url=https://www.acompagna.org/rivista/archivio/2026-1.pdf&amp;ved=2ahUKEwiJoYzosruXAxV1hv0HHcbGMrUQ0YISegoIAggACAAIEBAD&amp;opi=89978449&amp;cd&amp;psig=AOvVaw0H7NMTtn-gaCrR6tQUb_7B&amp;ust=1792132194660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Simone%20Dragone,%20La%20stagione%20inaugurale%20del%20Teatro%20Carlo%20Felice:%20una%20ricostruzione%20critica%20dalle%20cronache%20della%20&#171;Gazzetta%20di%20Genova&#187;.%20Atti%20della%20Societ&#224;%20Ligure%20di%20Storia%20Patria,%20n.s.,%20LXIII%20(2023)%20DOI%2010.5281/zenodo.10119363%20simone.dragone@edu.unige.i%20P.1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C1156-6118-498B-9136-B6FF58FEF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539</Words>
  <Characters>3077</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2026-10-15T06:26:00Z</dcterms:created>
  <dcterms:modified xsi:type="dcterms:W3CDTF">2026-10-15T07:14:00Z</dcterms:modified>
</cp:coreProperties>
</file>