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1A3E" w14:textId="55CAD6D5" w:rsidR="00FB37E9" w:rsidRPr="000245AD" w:rsidRDefault="00FB37E9" w:rsidP="00FB37E9">
      <w:pPr>
        <w:spacing w:after="0" w:line="240" w:lineRule="auto"/>
        <w:jc w:val="both"/>
        <w:rPr>
          <w:rFonts w:cstheme="minorHAnsi"/>
          <w:i/>
          <w:sz w:val="16"/>
          <w:szCs w:val="16"/>
        </w:rPr>
      </w:pPr>
      <w:bookmarkStart w:id="0" w:name="_Hlk216106693"/>
      <w:r>
        <w:rPr>
          <w:rFonts w:cstheme="minorHAnsi"/>
          <w:b/>
          <w:color w:val="C00000"/>
          <w:sz w:val="44"/>
          <w:szCs w:val="44"/>
        </w:rPr>
        <w:t>XX62</w:t>
      </w:r>
      <w:r>
        <w:rPr>
          <w:rFonts w:cstheme="minorHAnsi"/>
          <w:b/>
          <w:color w:val="C00000"/>
          <w:sz w:val="44"/>
          <w:szCs w:val="44"/>
        </w:rPr>
        <w:t>2</w:t>
      </w:r>
      <w:r>
        <w:rPr>
          <w:rFonts w:cstheme="minorHAnsi"/>
          <w:b/>
          <w:color w:val="C00000"/>
          <w:sz w:val="44"/>
          <w:szCs w:val="44"/>
        </w:rPr>
        <w:tab/>
      </w:r>
      <w:r w:rsidRPr="000245AD">
        <w:rPr>
          <w:rFonts w:cstheme="minorHAnsi"/>
          <w:b/>
          <w:sz w:val="16"/>
          <w:szCs w:val="16"/>
        </w:rPr>
        <w:tab/>
      </w:r>
      <w:r w:rsidRPr="000245AD">
        <w:rPr>
          <w:rFonts w:cstheme="minorHAnsi"/>
          <w:b/>
          <w:sz w:val="16"/>
          <w:szCs w:val="16"/>
        </w:rPr>
        <w:tab/>
      </w:r>
      <w:r w:rsidRPr="000245AD">
        <w:rPr>
          <w:rFonts w:cstheme="minorHAnsi"/>
          <w:b/>
          <w:sz w:val="16"/>
          <w:szCs w:val="16"/>
        </w:rPr>
        <w:tab/>
      </w:r>
      <w:r w:rsidRPr="000245AD">
        <w:rPr>
          <w:rFonts w:cstheme="minorHAnsi"/>
          <w:b/>
          <w:sz w:val="16"/>
          <w:szCs w:val="16"/>
        </w:rPr>
        <w:tab/>
      </w:r>
      <w:r w:rsidRPr="000245AD">
        <w:rPr>
          <w:rFonts w:cstheme="minorHAnsi"/>
          <w:b/>
          <w:sz w:val="16"/>
          <w:szCs w:val="16"/>
        </w:rPr>
        <w:tab/>
      </w:r>
      <w:r w:rsidRPr="000245AD">
        <w:rPr>
          <w:rFonts w:cstheme="minorHAnsi"/>
          <w:b/>
          <w:sz w:val="16"/>
          <w:szCs w:val="16"/>
        </w:rPr>
        <w:tab/>
      </w:r>
      <w:r w:rsidRPr="000245AD">
        <w:rPr>
          <w:rFonts w:cstheme="minorHAnsi"/>
          <w:b/>
          <w:sz w:val="16"/>
          <w:szCs w:val="16"/>
        </w:rPr>
        <w:tab/>
      </w:r>
      <w:r w:rsidRPr="000245AD">
        <w:rPr>
          <w:rFonts w:cstheme="minorHAnsi"/>
          <w:b/>
          <w:sz w:val="16"/>
          <w:szCs w:val="16"/>
        </w:rPr>
        <w:tab/>
      </w:r>
      <w:r w:rsidRPr="000245AD">
        <w:rPr>
          <w:rFonts w:cstheme="minorHAnsi"/>
          <w:i/>
          <w:sz w:val="16"/>
          <w:szCs w:val="16"/>
        </w:rPr>
        <w:t xml:space="preserve">Scheda creata il </w:t>
      </w:r>
      <w:r>
        <w:rPr>
          <w:rFonts w:cstheme="minorHAnsi"/>
          <w:i/>
          <w:sz w:val="16"/>
          <w:szCs w:val="16"/>
        </w:rPr>
        <w:t>27 settembre 2026</w:t>
      </w:r>
    </w:p>
    <w:bookmarkEnd w:id="0"/>
    <w:p w14:paraId="4BD09444" w14:textId="77777777" w:rsidR="00FB37E9" w:rsidRPr="000245AD" w:rsidRDefault="00FB37E9" w:rsidP="00FB37E9">
      <w:pPr>
        <w:spacing w:after="0" w:line="240" w:lineRule="auto"/>
        <w:jc w:val="both"/>
        <w:rPr>
          <w:rFonts w:cstheme="minorHAnsi"/>
          <w:b/>
          <w:color w:val="C00000"/>
          <w:sz w:val="44"/>
          <w:szCs w:val="44"/>
        </w:rPr>
      </w:pPr>
      <w:r w:rsidRPr="000245AD">
        <w:rPr>
          <w:rFonts w:cstheme="minorHAnsi"/>
          <w:b/>
          <w:color w:val="C00000"/>
          <w:sz w:val="44"/>
          <w:szCs w:val="44"/>
        </w:rPr>
        <w:t>Descrizione storico-bibliografica</w:t>
      </w:r>
    </w:p>
    <w:p w14:paraId="35070DBD" w14:textId="77777777" w:rsidR="00FB37E9" w:rsidRPr="00FB37E9" w:rsidRDefault="00FB37E9" w:rsidP="00FB37E9">
      <w:pPr>
        <w:spacing w:after="0" w:line="240" w:lineRule="auto"/>
        <w:jc w:val="both"/>
        <w:rPr>
          <w:sz w:val="32"/>
          <w:szCs w:val="32"/>
        </w:rPr>
      </w:pPr>
      <w:r w:rsidRPr="00FB37E9">
        <w:rPr>
          <w:sz w:val="32"/>
          <w:szCs w:val="32"/>
        </w:rPr>
        <w:t>Il *</w:t>
      </w:r>
      <w:r w:rsidRPr="00FB37E9">
        <w:rPr>
          <w:b/>
          <w:bCs/>
          <w:sz w:val="32"/>
          <w:szCs w:val="32"/>
        </w:rPr>
        <w:t>lanternino</w:t>
      </w:r>
      <w:r w:rsidRPr="00FB37E9">
        <w:rPr>
          <w:sz w:val="32"/>
          <w:szCs w:val="32"/>
        </w:rPr>
        <w:t>. - Anno 1, n. 1 (</w:t>
      </w:r>
      <w:proofErr w:type="gramStart"/>
      <w:r w:rsidRPr="00FB37E9">
        <w:rPr>
          <w:sz w:val="32"/>
          <w:szCs w:val="32"/>
        </w:rPr>
        <w:t>1 gennaio</w:t>
      </w:r>
      <w:proofErr w:type="gramEnd"/>
      <w:r w:rsidRPr="00FB37E9">
        <w:rPr>
          <w:sz w:val="32"/>
          <w:szCs w:val="32"/>
        </w:rPr>
        <w:t xml:space="preserve"> </w:t>
      </w:r>
      <w:proofErr w:type="gramStart"/>
      <w:r w:rsidRPr="00FB37E9">
        <w:rPr>
          <w:sz w:val="32"/>
          <w:szCs w:val="32"/>
        </w:rPr>
        <w:t>1909)-</w:t>
      </w:r>
      <w:proofErr w:type="gramEnd"/>
      <w:r w:rsidRPr="00FB37E9">
        <w:rPr>
          <w:sz w:val="32"/>
          <w:szCs w:val="32"/>
        </w:rPr>
        <w:t xml:space="preserve">anno 1, n. 5 (1909). - </w:t>
      </w:r>
      <w:proofErr w:type="gramStart"/>
      <w:r w:rsidRPr="00FB37E9">
        <w:rPr>
          <w:sz w:val="32"/>
          <w:szCs w:val="32"/>
        </w:rPr>
        <w:t>Empoli :</w:t>
      </w:r>
      <w:proofErr w:type="gramEnd"/>
      <w:r w:rsidRPr="00FB37E9">
        <w:rPr>
          <w:sz w:val="32"/>
          <w:szCs w:val="32"/>
        </w:rPr>
        <w:t xml:space="preserve"> Tip. R. Noccioli, 1909. – 1 volume. ((Bimensile. - CUBI 319858. - BNI 1909-2465. - CUB0703045</w:t>
      </w:r>
    </w:p>
    <w:p w14:paraId="6AA6ED4A" w14:textId="77777777" w:rsidR="00FB37E9" w:rsidRPr="00FB37E9" w:rsidRDefault="00FB37E9" w:rsidP="00FB37E9">
      <w:pPr>
        <w:spacing w:after="0" w:line="240" w:lineRule="auto"/>
        <w:jc w:val="both"/>
        <w:rPr>
          <w:sz w:val="32"/>
          <w:szCs w:val="32"/>
        </w:rPr>
      </w:pPr>
      <w:r w:rsidRPr="00FB37E9">
        <w:rPr>
          <w:sz w:val="32"/>
          <w:szCs w:val="32"/>
        </w:rPr>
        <w:t>Soggetto: Periodici umoristici – Empoli – 1909</w:t>
      </w:r>
    </w:p>
    <w:p w14:paraId="20EA23B9" w14:textId="77777777" w:rsidR="00FB37E9" w:rsidRDefault="00FB37E9" w:rsidP="00FB37E9">
      <w:pPr>
        <w:spacing w:after="0" w:line="240" w:lineRule="auto"/>
        <w:jc w:val="both"/>
      </w:pPr>
    </w:p>
    <w:p w14:paraId="5E6F48D4" w14:textId="77777777" w:rsidR="00FB37E9" w:rsidRDefault="00FB37E9" w:rsidP="00FB37E9">
      <w:pPr>
        <w:spacing w:after="0" w:line="240" w:lineRule="auto"/>
        <w:jc w:val="both"/>
        <w:rPr>
          <w:b/>
          <w:bCs/>
          <w:color w:val="C00000"/>
          <w:sz w:val="44"/>
          <w:szCs w:val="44"/>
        </w:rPr>
      </w:pPr>
      <w:r>
        <w:rPr>
          <w:b/>
          <w:bCs/>
          <w:color w:val="C00000"/>
          <w:sz w:val="44"/>
          <w:szCs w:val="44"/>
        </w:rPr>
        <w:t>Informazioni storico-bibliografiche</w:t>
      </w:r>
    </w:p>
    <w:p w14:paraId="6E49D5C3" w14:textId="1DC9689A" w:rsidR="00FB37E9" w:rsidRPr="00FB37E9" w:rsidRDefault="00FB37E9" w:rsidP="00FB37E9">
      <w:pPr>
        <w:spacing w:after="0" w:line="240" w:lineRule="auto"/>
        <w:jc w:val="both"/>
        <w:rPr>
          <w:sz w:val="25"/>
          <w:szCs w:val="25"/>
        </w:rPr>
      </w:pPr>
      <w:r w:rsidRPr="00FB37E9">
        <w:rPr>
          <w:sz w:val="25"/>
          <w:szCs w:val="25"/>
        </w:rPr>
        <w:t xml:space="preserve">Il «Lanternino» si compone di quattro pagine di ampio formato (50 cm), a due colori, con articoli spiritosi e soprattutto con caricature e pupazzetti di empolesi colti in pose simpatiche mentre passeggiano nel «giro d’Empoli». Altre caricature e parodie notevoli, firmate «Fiamma» (Mario Mazzinghi, che disegna anche la testata), riguardano notabili empolesi, a partire dal sindaco cav. Angiolo Vannucci, per proseguire con il cav. avv. Ugo Chiarugi, l’avv. Vitaliano Traversari, l’avv. Umberto Salvadori, mentre «Lucignolo» disegna l’avv. Giovanni Lami, nonché i protagonisti di spettacoli teatrali e operistici, come Lydia D’Arsago, avvenente interprete della figlia d’Etiopia nell’Aida di Giuseppe Verdi, rappresentata al R. Teatro Salvini. Inoltre, a testimonianza della consolidata fortuna di massa dell’opera lirica anche in periferia, «un ampio disegno rappresenta la parodia del finale dell’atto secondo dell’opera verdiana. Il comm. ing. Paolo Del Vivo, console dell’Accademia dei Gelosi Impazienti, nella veste di re Faraone, circondato dalla corte dei signori accademici, dinanzi alla turba dei socialisti, sotto le spoglie dei guerrieri egizi ed etiopi, esclama solennemente: Cessi dinanzi all’arte | Lo spirito di parte | E nuova pace arrida | Alla celeste Aida» </w:t>
      </w:r>
      <w:proofErr w:type="gramStart"/>
      <w:r w:rsidRPr="00FB37E9">
        <w:rPr>
          <w:sz w:val="25"/>
          <w:szCs w:val="25"/>
        </w:rPr>
        <w:t>14 .</w:t>
      </w:r>
      <w:proofErr w:type="gramEnd"/>
      <w:r w:rsidRPr="00FB37E9">
        <w:rPr>
          <w:sz w:val="25"/>
          <w:szCs w:val="25"/>
        </w:rPr>
        <w:t xml:space="preserve"> Mancini, I giornali umoristici e i «numeri unici» empolesi, p. 16.</w:t>
      </w:r>
    </w:p>
    <w:p w14:paraId="219A977F" w14:textId="77777777" w:rsidR="00FB37E9" w:rsidRPr="00FB37E9" w:rsidRDefault="00FB37E9" w:rsidP="00FB37E9">
      <w:pPr>
        <w:spacing w:after="0" w:line="240" w:lineRule="auto"/>
        <w:jc w:val="both"/>
        <w:rPr>
          <w:i/>
          <w:iCs/>
          <w:sz w:val="25"/>
          <w:szCs w:val="25"/>
        </w:rPr>
      </w:pPr>
      <w:r w:rsidRPr="00FB37E9">
        <w:rPr>
          <w:sz w:val="25"/>
          <w:szCs w:val="25"/>
        </w:rPr>
        <w:t xml:space="preserve">Sul numero del 7 marzo 1909 Alberto Manetti presentava i due candidati in competizione: il marchese dott. Gino Incontri e il socialista prof. Giulio Masini, disegnati come burattini che si bastonano di santa ragione sul palcoscenico del varietà. Emilio Mancini lo considera «il migliore, se non il più duraturo, periodico interamente umoristico compilato fra noi, sia per la ricchezza delle illustrazioni, sia per la vivacità e la varietà degli scritti. E, quel che più conta ed è più raro, il “Lanternino” seppe evitare pettegolezzi ed antipatie e non lasciò debiti. Con tante virtù – commenta Mancini – si capisce che non era nato per questo mondo …» </w:t>
      </w:r>
      <w:proofErr w:type="gramStart"/>
      <w:r w:rsidRPr="00FB37E9">
        <w:rPr>
          <w:sz w:val="25"/>
          <w:szCs w:val="25"/>
        </w:rPr>
        <w:t>15 .</w:t>
      </w:r>
      <w:proofErr w:type="gramEnd"/>
      <w:r w:rsidRPr="00FB37E9">
        <w:rPr>
          <w:sz w:val="25"/>
          <w:szCs w:val="25"/>
        </w:rPr>
        <w:t xml:space="preserve"> Il giornale è stampato dalla Tipografia R. Noccioli (che svolgerà un ruolo importante in città) e litografato a Firenze; gerente responsabile ne era Dario Salani e disegnatori principali «Lucignolo» (Alberto Manetti, poi famoso con lo pseudonimo di «Brivido») e «Fiamma», insieme a Dino Brogi, Curzio Ceccherelli (scultore pisano morto giovanissimo) e Paolo Marioni. Autori, in prosa e in versi, Bezzi, Brogi, il dott. Gaetano Santini, Marioni ed Emilio Mancini, che firma il primo articolo. Il fascicolo d’esordio andò a ruba, grazie anche alla distribuzione capillare curata dai </w:t>
      </w:r>
      <w:proofErr w:type="spellStart"/>
      <w:r w:rsidRPr="00FB37E9">
        <w:rPr>
          <w:sz w:val="25"/>
          <w:szCs w:val="25"/>
        </w:rPr>
        <w:t>gio</w:t>
      </w:r>
      <w:proofErr w:type="spellEnd"/>
      <w:r w:rsidRPr="00FB37E9">
        <w:rPr>
          <w:sz w:val="25"/>
          <w:szCs w:val="25"/>
        </w:rPr>
        <w:t xml:space="preserve">- vani della Società ginnastica </w:t>
      </w:r>
      <w:proofErr w:type="spellStart"/>
      <w:r w:rsidRPr="00FB37E9">
        <w:rPr>
          <w:sz w:val="25"/>
          <w:szCs w:val="25"/>
        </w:rPr>
        <w:t>Emporium</w:t>
      </w:r>
      <w:proofErr w:type="spellEnd"/>
      <w:r w:rsidRPr="00FB37E9">
        <w:rPr>
          <w:sz w:val="25"/>
          <w:szCs w:val="25"/>
        </w:rPr>
        <w:t xml:space="preserve">; sulla testata, in alto a destra, compare la scritta: «La Redazione cede il </w:t>
      </w:r>
      <w:proofErr w:type="gramStart"/>
      <w:r w:rsidRPr="00FB37E9">
        <w:rPr>
          <w:sz w:val="25"/>
          <w:szCs w:val="25"/>
        </w:rPr>
        <w:t>1°</w:t>
      </w:r>
      <w:proofErr w:type="gramEnd"/>
      <w:r w:rsidRPr="00FB37E9">
        <w:rPr>
          <w:sz w:val="25"/>
          <w:szCs w:val="25"/>
        </w:rPr>
        <w:t xml:space="preserve"> NUMERO a totale beneficio degli sventurati fratelli della Calabria e della Sicilia», in particolare di Messina, colpiti dal terribile terremoto del 1908. L’incasso della vendita fu di 128 lire (ciascun fascicolo costa 10 centesimi): non poco per un periodico al suo esordio. </w:t>
      </w:r>
      <w:r w:rsidRPr="00FB37E9">
        <w:rPr>
          <w:i/>
          <w:iCs/>
          <w:sz w:val="25"/>
          <w:szCs w:val="25"/>
        </w:rPr>
        <w:t>Guerrini, p.499-500</w:t>
      </w:r>
    </w:p>
    <w:p w14:paraId="42B2AE24" w14:textId="77777777" w:rsidR="00FB37E9" w:rsidRPr="00B27EF8" w:rsidRDefault="00FB37E9" w:rsidP="00FB37E9">
      <w:pPr>
        <w:spacing w:after="0" w:line="240" w:lineRule="auto"/>
        <w:jc w:val="both"/>
      </w:pPr>
    </w:p>
    <w:p w14:paraId="5BCF6E19" w14:textId="3D1DFEE9" w:rsidR="00FB37E9" w:rsidRDefault="00FB37E9" w:rsidP="00FB37E9">
      <w:pPr>
        <w:spacing w:after="0" w:line="240" w:lineRule="auto"/>
        <w:jc w:val="both"/>
        <w:rPr>
          <w:b/>
          <w:bCs/>
          <w:color w:val="C00000"/>
          <w:sz w:val="44"/>
          <w:szCs w:val="44"/>
        </w:rPr>
      </w:pPr>
      <w:r w:rsidRPr="00255398">
        <w:rPr>
          <w:b/>
          <w:bCs/>
          <w:color w:val="C00000"/>
          <w:sz w:val="44"/>
          <w:szCs w:val="44"/>
        </w:rPr>
        <w:lastRenderedPageBreak/>
        <w:t>Note e riferimenti bibliografici</w:t>
      </w:r>
    </w:p>
    <w:p w14:paraId="3FBF98D0" w14:textId="20567210" w:rsidR="00FB37E9" w:rsidRPr="00FB37E9" w:rsidRDefault="00FB37E9" w:rsidP="00FB37E9">
      <w:pPr>
        <w:pStyle w:val="Paragrafoelenco"/>
        <w:numPr>
          <w:ilvl w:val="0"/>
          <w:numId w:val="1"/>
        </w:numPr>
        <w:spacing w:after="0" w:line="240" w:lineRule="auto"/>
        <w:jc w:val="both"/>
        <w:rPr>
          <w:rFonts w:cstheme="minorHAnsi"/>
          <w:sz w:val="25"/>
          <w:szCs w:val="25"/>
        </w:rPr>
      </w:pPr>
      <w:r>
        <w:rPr>
          <w:noProof/>
        </w:rPr>
        <w:drawing>
          <wp:anchor distT="0" distB="0" distL="114300" distR="114300" simplePos="0" relativeHeight="251657216" behindDoc="0" locked="0" layoutInCell="1" allowOverlap="1" wp14:anchorId="474AF1FF" wp14:editId="6CE1DB9E">
            <wp:simplePos x="0" y="0"/>
            <wp:positionH relativeFrom="column">
              <wp:posOffset>-29210</wp:posOffset>
            </wp:positionH>
            <wp:positionV relativeFrom="paragraph">
              <wp:posOffset>68580</wp:posOffset>
            </wp:positionV>
            <wp:extent cx="1864800" cy="2880000"/>
            <wp:effectExtent l="0" t="0" r="2540" b="0"/>
            <wp:wrapSquare wrapText="bothSides"/>
            <wp:docPr id="645175191" name="Immagine 1" descr="Emilio e i Giornali umoristici - Emilio M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XS-5atjUCa387_UP8Jjc0Qk_34" descr="Emilio e i Giornali umoristici - Emilio Mancin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48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37E9">
        <w:rPr>
          <w:rFonts w:cstheme="minorHAnsi"/>
          <w:sz w:val="25"/>
          <w:szCs w:val="25"/>
        </w:rPr>
        <w:t xml:space="preserve">I giornali umoristici e i «numeri unici» empolesi, Empoli, Lambruschini, 1922. </w:t>
      </w:r>
    </w:p>
    <w:p w14:paraId="34563456" w14:textId="77777777" w:rsidR="00FB37E9" w:rsidRPr="00FB37E9" w:rsidRDefault="00FB37E9" w:rsidP="00FB37E9">
      <w:pPr>
        <w:pStyle w:val="Paragrafoelenco"/>
        <w:numPr>
          <w:ilvl w:val="1"/>
          <w:numId w:val="1"/>
        </w:numPr>
        <w:spacing w:after="0" w:line="240" w:lineRule="auto"/>
        <w:jc w:val="both"/>
        <w:rPr>
          <w:rFonts w:cstheme="minorHAnsi"/>
          <w:i/>
          <w:iCs/>
        </w:rPr>
      </w:pPr>
      <w:r w:rsidRPr="00FB37E9">
        <w:rPr>
          <w:rFonts w:cstheme="minorHAnsi"/>
          <w:i/>
          <w:iCs/>
        </w:rPr>
        <w:t xml:space="preserve">Pubblicato originariamente, a puntate, nel «Piccolo», 17 (1922), 11-15. In Ricordi e appunti del giornalismo empolese (1924) Mancini annunciò uno studio ulteriore sul tema, mai pubblicato. Sulla intensa attività di questo studioso – che usava spesso lo pseudonimo di Spigolino per marcare il suo ruolo di lettore e raccoglitore di notizie altrui ricercate </w:t>
      </w:r>
      <w:proofErr w:type="spellStart"/>
      <w:r w:rsidRPr="00FB37E9">
        <w:rPr>
          <w:rFonts w:cstheme="minorHAnsi"/>
          <w:i/>
          <w:iCs/>
        </w:rPr>
        <w:t>minu</w:t>
      </w:r>
      <w:proofErr w:type="spellEnd"/>
      <w:r w:rsidRPr="00FB37E9">
        <w:rPr>
          <w:rFonts w:cstheme="minorHAnsi"/>
          <w:i/>
          <w:iCs/>
        </w:rPr>
        <w:t xml:space="preserve">- </w:t>
      </w:r>
      <w:proofErr w:type="spellStart"/>
      <w:r w:rsidRPr="00FB37E9">
        <w:rPr>
          <w:rFonts w:cstheme="minorHAnsi"/>
          <w:i/>
          <w:iCs/>
        </w:rPr>
        <w:t>ziosamente</w:t>
      </w:r>
      <w:proofErr w:type="spellEnd"/>
      <w:r w:rsidRPr="00FB37E9">
        <w:rPr>
          <w:rFonts w:cstheme="minorHAnsi"/>
          <w:i/>
          <w:iCs/>
        </w:rPr>
        <w:t xml:space="preserve"> nei vari periodici locali – cfr. https://manciniemilio.wordpress.com/category/ </w:t>
      </w:r>
      <w:proofErr w:type="spellStart"/>
      <w:r w:rsidRPr="00FB37E9">
        <w:rPr>
          <w:rFonts w:cstheme="minorHAnsi"/>
          <w:i/>
          <w:iCs/>
        </w:rPr>
        <w:t>emilio</w:t>
      </w:r>
      <w:proofErr w:type="spellEnd"/>
      <w:r w:rsidRPr="00FB37E9">
        <w:rPr>
          <w:rFonts w:cstheme="minorHAnsi"/>
          <w:i/>
          <w:iCs/>
        </w:rPr>
        <w:t xml:space="preserve">-mancini/, sito web curato da P. Pianigiani, e </w:t>
      </w:r>
      <w:proofErr w:type="spellStart"/>
      <w:r w:rsidRPr="00FB37E9">
        <w:rPr>
          <w:rFonts w:cstheme="minorHAnsi"/>
          <w:i/>
          <w:iCs/>
        </w:rPr>
        <w:t>E</w:t>
      </w:r>
      <w:proofErr w:type="spellEnd"/>
      <w:r w:rsidRPr="00FB37E9">
        <w:rPr>
          <w:rFonts w:cstheme="minorHAnsi"/>
          <w:i/>
          <w:iCs/>
        </w:rPr>
        <w:t>. Boldrini, Emilio Mancini, direttore della «Miscellanea Storica della Valdelsa», «Miscellanea Storica della Valdelsa», CXXII (2016), 2 (331), pp. 71-84.</w:t>
      </w:r>
    </w:p>
    <w:p w14:paraId="06D901DA" w14:textId="77777777" w:rsidR="00FB37E9" w:rsidRPr="00FB37E9" w:rsidRDefault="00FB37E9" w:rsidP="00FB37E9">
      <w:pPr>
        <w:pStyle w:val="Paragrafoelenco"/>
        <w:numPr>
          <w:ilvl w:val="0"/>
          <w:numId w:val="1"/>
        </w:numPr>
        <w:spacing w:after="0" w:line="240" w:lineRule="auto"/>
        <w:jc w:val="both"/>
        <w:rPr>
          <w:rFonts w:cstheme="minorHAnsi"/>
          <w:sz w:val="25"/>
          <w:szCs w:val="25"/>
        </w:rPr>
      </w:pPr>
      <w:hyperlink r:id="rId7" w:history="1">
        <w:r w:rsidRPr="00FB37E9">
          <w:rPr>
            <w:rStyle w:val="Collegamentoipertestuale"/>
            <w:rFonts w:cstheme="minorHAnsi"/>
            <w:sz w:val="25"/>
            <w:szCs w:val="25"/>
          </w:rPr>
          <w:t xml:space="preserve">Periodici e numeri unici </w:t>
        </w:r>
        <w:proofErr w:type="gramStart"/>
        <w:r w:rsidRPr="00FB37E9">
          <w:rPr>
            <w:rStyle w:val="Collegamentoipertestuale"/>
            <w:rFonts w:cstheme="minorHAnsi"/>
            <w:sz w:val="25"/>
            <w:szCs w:val="25"/>
          </w:rPr>
          <w:t>empolesi :</w:t>
        </w:r>
        <w:proofErr w:type="gramEnd"/>
        <w:r w:rsidRPr="00FB37E9">
          <w:rPr>
            <w:rStyle w:val="Collegamentoipertestuale"/>
            <w:rFonts w:cstheme="minorHAnsi"/>
            <w:sz w:val="25"/>
            <w:szCs w:val="25"/>
          </w:rPr>
          <w:t xml:space="preserve"> 1841-</w:t>
        </w:r>
        <w:proofErr w:type="gramStart"/>
        <w:r w:rsidRPr="00FB37E9">
          <w:rPr>
            <w:rStyle w:val="Collegamentoipertestuale"/>
            <w:rFonts w:cstheme="minorHAnsi"/>
            <w:sz w:val="25"/>
            <w:szCs w:val="25"/>
          </w:rPr>
          <w:t>1941 :</w:t>
        </w:r>
        <w:proofErr w:type="gramEnd"/>
        <w:r w:rsidRPr="00FB37E9">
          <w:rPr>
            <w:rStyle w:val="Collegamentoipertestuale"/>
            <w:rFonts w:cstheme="minorHAnsi"/>
            <w:sz w:val="25"/>
            <w:szCs w:val="25"/>
          </w:rPr>
          <w:t xml:space="preserve"> catalogo / a cura di Mauro Guerrini e Fortunato Morelli. - </w:t>
        </w:r>
        <w:proofErr w:type="gramStart"/>
        <w:r w:rsidRPr="00FB37E9">
          <w:rPr>
            <w:rStyle w:val="Collegamentoipertestuale"/>
            <w:rFonts w:cstheme="minorHAnsi"/>
            <w:sz w:val="25"/>
            <w:szCs w:val="25"/>
          </w:rPr>
          <w:t>Empoli :</w:t>
        </w:r>
        <w:proofErr w:type="gramEnd"/>
        <w:r w:rsidRPr="00FB37E9">
          <w:rPr>
            <w:rStyle w:val="Collegamentoipertestuale"/>
            <w:rFonts w:cstheme="minorHAnsi"/>
            <w:sz w:val="25"/>
            <w:szCs w:val="25"/>
          </w:rPr>
          <w:t xml:space="preserve"> ATPE, 1994. - 262 </w:t>
        </w:r>
        <w:proofErr w:type="gramStart"/>
        <w:r w:rsidRPr="00FB37E9">
          <w:rPr>
            <w:rStyle w:val="Collegamentoipertestuale"/>
            <w:rFonts w:cstheme="minorHAnsi"/>
            <w:sz w:val="25"/>
            <w:szCs w:val="25"/>
          </w:rPr>
          <w:t>p. :</w:t>
        </w:r>
        <w:proofErr w:type="gramEnd"/>
        <w:r w:rsidRPr="00FB37E9">
          <w:rPr>
            <w:rStyle w:val="Collegamentoipertestuale"/>
            <w:rFonts w:cstheme="minorHAnsi"/>
            <w:sz w:val="25"/>
            <w:szCs w:val="25"/>
          </w:rPr>
          <w:t xml:space="preserve"> </w:t>
        </w:r>
        <w:proofErr w:type="gramStart"/>
        <w:r w:rsidRPr="00FB37E9">
          <w:rPr>
            <w:rStyle w:val="Collegamentoipertestuale"/>
            <w:rFonts w:cstheme="minorHAnsi"/>
            <w:sz w:val="25"/>
            <w:szCs w:val="25"/>
          </w:rPr>
          <w:t>ill. ;</w:t>
        </w:r>
        <w:proofErr w:type="gramEnd"/>
        <w:r w:rsidRPr="00FB37E9">
          <w:rPr>
            <w:rStyle w:val="Collegamentoipertestuale"/>
            <w:rFonts w:cstheme="minorHAnsi"/>
            <w:sz w:val="25"/>
            <w:szCs w:val="25"/>
          </w:rPr>
          <w:t xml:space="preserve"> 24 cm. - Già pubbl. in.: Bullettino storico empolese, vol. 11., anno 38</w:t>
        </w:r>
      </w:hyperlink>
    </w:p>
    <w:p w14:paraId="6A2299BC" w14:textId="77777777" w:rsidR="00FB37E9" w:rsidRPr="00FB37E9" w:rsidRDefault="00FB37E9" w:rsidP="00FB37E9">
      <w:pPr>
        <w:pStyle w:val="Paragrafoelenco"/>
        <w:numPr>
          <w:ilvl w:val="0"/>
          <w:numId w:val="1"/>
        </w:numPr>
        <w:spacing w:after="0" w:line="240" w:lineRule="auto"/>
        <w:jc w:val="both"/>
        <w:rPr>
          <w:rFonts w:cstheme="minorHAnsi"/>
          <w:sz w:val="25"/>
          <w:szCs w:val="25"/>
        </w:rPr>
      </w:pPr>
      <w:r w:rsidRPr="00FB37E9">
        <w:rPr>
          <w:rFonts w:cstheme="minorHAnsi"/>
          <w:sz w:val="25"/>
          <w:szCs w:val="25"/>
        </w:rPr>
        <w:t xml:space="preserve">G. </w:t>
      </w:r>
      <w:proofErr w:type="spellStart"/>
      <w:r w:rsidRPr="00FB37E9">
        <w:rPr>
          <w:rFonts w:cstheme="minorHAnsi"/>
          <w:sz w:val="25"/>
          <w:szCs w:val="25"/>
        </w:rPr>
        <w:t>Lastraioli</w:t>
      </w:r>
      <w:proofErr w:type="spellEnd"/>
      <w:r w:rsidRPr="00FB37E9">
        <w:rPr>
          <w:rFonts w:cstheme="minorHAnsi"/>
          <w:sz w:val="25"/>
          <w:szCs w:val="25"/>
        </w:rPr>
        <w:t xml:space="preserve">, Empoli. Mille anni in cento pagine. Profilo di una città toscana, Empoli, Editori dell’Acero, 2014. </w:t>
      </w:r>
    </w:p>
    <w:p w14:paraId="4C70C0F9" w14:textId="77777777" w:rsidR="00FB37E9" w:rsidRPr="00FB37E9" w:rsidRDefault="00FB37E9" w:rsidP="00FB37E9">
      <w:pPr>
        <w:pStyle w:val="Paragrafoelenco"/>
        <w:numPr>
          <w:ilvl w:val="1"/>
          <w:numId w:val="1"/>
        </w:numPr>
        <w:spacing w:after="0" w:line="240" w:lineRule="auto"/>
        <w:jc w:val="both"/>
        <w:rPr>
          <w:rFonts w:cstheme="minorHAnsi"/>
          <w:i/>
          <w:iCs/>
        </w:rPr>
      </w:pPr>
      <w:r w:rsidRPr="00FB37E9">
        <w:rPr>
          <w:rFonts w:cstheme="minorHAnsi"/>
          <w:i/>
          <w:iCs/>
        </w:rPr>
        <w:t>Serie di articoli editi tra il 1951 e il 1959 prima su «La Nazione» e poi su «Il Mattino», raccolti in volume</w:t>
      </w:r>
    </w:p>
    <w:p w14:paraId="1CA7FE14" w14:textId="77777777" w:rsidR="00FB37E9" w:rsidRPr="00FB37E9" w:rsidRDefault="00FB37E9" w:rsidP="00FB37E9">
      <w:pPr>
        <w:pStyle w:val="Paragrafoelenco"/>
        <w:numPr>
          <w:ilvl w:val="0"/>
          <w:numId w:val="1"/>
        </w:numPr>
        <w:spacing w:after="0" w:line="240" w:lineRule="auto"/>
        <w:jc w:val="both"/>
        <w:rPr>
          <w:rFonts w:cstheme="minorHAnsi"/>
          <w:sz w:val="25"/>
          <w:szCs w:val="25"/>
        </w:rPr>
      </w:pPr>
      <w:r w:rsidRPr="00FB37E9">
        <w:rPr>
          <w:rFonts w:cstheme="minorHAnsi"/>
          <w:sz w:val="25"/>
          <w:szCs w:val="25"/>
        </w:rPr>
        <w:t xml:space="preserve">Mauro Guerrini, Periodici empolesi tra Otto e Novecento (1841-1922). In: </w:t>
      </w:r>
      <w:hyperlink r:id="rId8" w:history="1">
        <w:proofErr w:type="gramStart"/>
        <w:r w:rsidRPr="00FB37E9">
          <w:rPr>
            <w:rStyle w:val="Collegamentoipertestuale"/>
            <w:rFonts w:cstheme="minorHAnsi"/>
            <w:sz w:val="25"/>
            <w:szCs w:val="25"/>
          </w:rPr>
          <w:t>Empoli :</w:t>
        </w:r>
        <w:proofErr w:type="gramEnd"/>
        <w:r w:rsidRPr="00FB37E9">
          <w:rPr>
            <w:rStyle w:val="Collegamentoipertestuale"/>
            <w:rFonts w:cstheme="minorHAnsi"/>
            <w:sz w:val="25"/>
            <w:szCs w:val="25"/>
          </w:rPr>
          <w:t xml:space="preserve"> nove secoli di storia / a cura di Giuliano Pinto, Gaetano Greco e Simonetta </w:t>
        </w:r>
        <w:proofErr w:type="gramStart"/>
        <w:r w:rsidRPr="00FB37E9">
          <w:rPr>
            <w:rStyle w:val="Collegamentoipertestuale"/>
            <w:rFonts w:cstheme="minorHAnsi"/>
            <w:sz w:val="25"/>
            <w:szCs w:val="25"/>
          </w:rPr>
          <w:t>Soldani ;</w:t>
        </w:r>
        <w:proofErr w:type="gramEnd"/>
        <w:r w:rsidRPr="00FB37E9">
          <w:rPr>
            <w:rStyle w:val="Collegamentoipertestuale"/>
            <w:rFonts w:cstheme="minorHAnsi"/>
            <w:sz w:val="25"/>
            <w:szCs w:val="25"/>
          </w:rPr>
          <w:t xml:space="preserve"> coordinamento scientifico-editoriale Cristina Gelli</w:t>
        </w:r>
      </w:hyperlink>
      <w:r w:rsidRPr="00FB37E9">
        <w:rPr>
          <w:rFonts w:cstheme="minorHAnsi"/>
          <w:sz w:val="25"/>
          <w:szCs w:val="25"/>
        </w:rPr>
        <w:t xml:space="preserve"> , 2, p.491-504</w:t>
      </w:r>
    </w:p>
    <w:p w14:paraId="73CB1523" w14:textId="77777777" w:rsidR="00FB37E9" w:rsidRDefault="00FB37E9" w:rsidP="00FB37E9">
      <w:pPr>
        <w:spacing w:after="0" w:line="240" w:lineRule="auto"/>
        <w:jc w:val="both"/>
      </w:pPr>
    </w:p>
    <w:p w14:paraId="50F6D1AE" w14:textId="77777777" w:rsidR="00FB37E9" w:rsidRDefault="00FB37E9" w:rsidP="00FB37E9"/>
    <w:p w14:paraId="7AF69225" w14:textId="77777777" w:rsidR="0031062F" w:rsidRDefault="0031062F"/>
    <w:sectPr w:rsidR="0031062F" w:rsidSect="00FB37E9">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0D8"/>
    <w:multiLevelType w:val="hybridMultilevel"/>
    <w:tmpl w:val="FF144C6A"/>
    <w:lvl w:ilvl="0" w:tplc="D08ABDFC">
      <w:start w:val="27"/>
      <w:numFmt w:val="bullet"/>
      <w:lvlText w:val=""/>
      <w:lvlJc w:val="left"/>
      <w:pPr>
        <w:ind w:left="720" w:hanging="360"/>
      </w:pPr>
      <w:rPr>
        <w:rFonts w:ascii="Symbol" w:eastAsiaTheme="minorHAnsi" w:hAnsi="Symbol" w:cstheme="minorHAns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592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0351F"/>
    <w:rsid w:val="0031062F"/>
    <w:rsid w:val="003605E3"/>
    <w:rsid w:val="00375F4B"/>
    <w:rsid w:val="003811E4"/>
    <w:rsid w:val="0050351F"/>
    <w:rsid w:val="00653982"/>
    <w:rsid w:val="008E0C27"/>
    <w:rsid w:val="00C71CAA"/>
    <w:rsid w:val="00D544E6"/>
    <w:rsid w:val="00E84EF4"/>
    <w:rsid w:val="00FB37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2E9F"/>
  <w15:chartTrackingRefBased/>
  <w15:docId w15:val="{645F3637-8475-497C-B057-FBBA17F9D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37E9"/>
  </w:style>
  <w:style w:type="paragraph" w:styleId="Titolo1">
    <w:name w:val="heading 1"/>
    <w:basedOn w:val="Normale"/>
    <w:next w:val="Normale"/>
    <w:link w:val="Titolo1Carattere"/>
    <w:uiPriority w:val="9"/>
    <w:qFormat/>
    <w:rsid w:val="0050351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0351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0351F"/>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0351F"/>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0351F"/>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50351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0351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0351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0351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0351F"/>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0351F"/>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0351F"/>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0351F"/>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50351F"/>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50351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0351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0351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0351F"/>
    <w:rPr>
      <w:rFonts w:eastAsiaTheme="majorEastAsia" w:cstheme="majorBidi"/>
      <w:color w:val="272727" w:themeColor="text1" w:themeTint="D8"/>
    </w:rPr>
  </w:style>
  <w:style w:type="paragraph" w:styleId="Titolo">
    <w:name w:val="Title"/>
    <w:basedOn w:val="Normale"/>
    <w:next w:val="Normale"/>
    <w:link w:val="TitoloCarattere"/>
    <w:uiPriority w:val="10"/>
    <w:qFormat/>
    <w:rsid w:val="0050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0351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0351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0351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0351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0351F"/>
    <w:rPr>
      <w:i/>
      <w:iCs/>
      <w:color w:val="404040" w:themeColor="text1" w:themeTint="BF"/>
    </w:rPr>
  </w:style>
  <w:style w:type="paragraph" w:styleId="Paragrafoelenco">
    <w:name w:val="List Paragraph"/>
    <w:basedOn w:val="Normale"/>
    <w:uiPriority w:val="34"/>
    <w:qFormat/>
    <w:rsid w:val="0050351F"/>
    <w:pPr>
      <w:ind w:left="720"/>
      <w:contextualSpacing/>
    </w:pPr>
  </w:style>
  <w:style w:type="character" w:styleId="Enfasiintensa">
    <w:name w:val="Intense Emphasis"/>
    <w:basedOn w:val="Carpredefinitoparagrafo"/>
    <w:uiPriority w:val="21"/>
    <w:qFormat/>
    <w:rsid w:val="0050351F"/>
    <w:rPr>
      <w:i/>
      <w:iCs/>
      <w:color w:val="365F91" w:themeColor="accent1" w:themeShade="BF"/>
    </w:rPr>
  </w:style>
  <w:style w:type="paragraph" w:styleId="Citazioneintensa">
    <w:name w:val="Intense Quote"/>
    <w:basedOn w:val="Normale"/>
    <w:next w:val="Normale"/>
    <w:link w:val="CitazioneintensaCarattere"/>
    <w:uiPriority w:val="30"/>
    <w:qFormat/>
    <w:rsid w:val="0050351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0351F"/>
    <w:rPr>
      <w:i/>
      <w:iCs/>
      <w:color w:val="365F91" w:themeColor="accent1" w:themeShade="BF"/>
    </w:rPr>
  </w:style>
  <w:style w:type="character" w:styleId="Riferimentointenso">
    <w:name w:val="Intense Reference"/>
    <w:basedOn w:val="Carpredefinitoparagrafo"/>
    <w:uiPriority w:val="32"/>
    <w:qFormat/>
    <w:rsid w:val="0050351F"/>
    <w:rPr>
      <w:b/>
      <w:bCs/>
      <w:smallCaps/>
      <w:color w:val="365F91" w:themeColor="accent1" w:themeShade="BF"/>
      <w:spacing w:val="5"/>
    </w:rPr>
  </w:style>
  <w:style w:type="character" w:styleId="Collegamentoipertestuale">
    <w:name w:val="Hyperlink"/>
    <w:rsid w:val="00FB37E9"/>
    <w:rPr>
      <w:strike w:val="0"/>
      <w:dstrike w:val="0"/>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ac.sbn.it/c/opac/view?id=SBT0019216" TargetMode="External"/><Relationship Id="rId3" Type="http://schemas.openxmlformats.org/officeDocument/2006/relationships/styles" Target="styles.xml"/><Relationship Id="rId7" Type="http://schemas.openxmlformats.org/officeDocument/2006/relationships/hyperlink" Target="https://www.google.com/url?sa=t&amp;source=web&amp;rct=j&amp;opi=89978449&amp;url=https://flore.unifi.it/retrieve/e398c37c-b7af-179a-e053-3705fe0a4cff/periodici%2520empolesi.pdf&amp;ved=2ahUKEwjEzZmm-o6XAxVp9rsIHYy-IugQFnoECCwQAQ&amp;usg=AOvVaw2r69AjMSOszBxLkXTetrD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DFD9-BE62-4C2E-9F37-8DF3EEA92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764</Words>
  <Characters>4358</Characters>
  <Application>Microsoft Office Word</Application>
  <DocSecurity>0</DocSecurity>
  <Lines>36</Lines>
  <Paragraphs>10</Paragraphs>
  <ScaleCrop>false</ScaleCrop>
  <Company>HP</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2026-09-27T14:46:00Z</dcterms:created>
  <dcterms:modified xsi:type="dcterms:W3CDTF">2026-09-27T15:01:00Z</dcterms:modified>
</cp:coreProperties>
</file>