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3698A" w14:textId="57D8407E" w:rsidR="00BE1B87" w:rsidRPr="003A42C8" w:rsidRDefault="00BE1B87" w:rsidP="003A42C8">
      <w:pPr>
        <w:spacing w:after="0" w:line="240" w:lineRule="auto"/>
        <w:jc w:val="both"/>
        <w:rPr>
          <w:rStyle w:val="Enfasigrassetto"/>
          <w:rFonts w:cstheme="minorHAnsi"/>
          <w:i/>
          <w:sz w:val="16"/>
          <w:szCs w:val="16"/>
        </w:rPr>
      </w:pPr>
      <w:r w:rsidRPr="003A42C8">
        <w:rPr>
          <w:rStyle w:val="Enfasigrassetto"/>
          <w:rFonts w:cstheme="minorHAnsi"/>
          <w:b/>
          <w:color w:val="C00000"/>
          <w:sz w:val="44"/>
          <w:szCs w:val="44"/>
        </w:rPr>
        <w:t>XY6</w:t>
      </w:r>
      <w:r w:rsidR="003A42C8" w:rsidRPr="003A42C8">
        <w:rPr>
          <w:rStyle w:val="Enfasigrassetto"/>
          <w:rFonts w:cstheme="minorHAnsi"/>
          <w:b/>
          <w:color w:val="C00000"/>
          <w:sz w:val="44"/>
          <w:szCs w:val="44"/>
        </w:rPr>
        <w:t>2</w:t>
      </w:r>
      <w:r w:rsidRPr="003A42C8">
        <w:rPr>
          <w:rStyle w:val="Enfasigrassetto"/>
          <w:rFonts w:cstheme="minorHAnsi"/>
          <w:b/>
          <w:sz w:val="44"/>
          <w:szCs w:val="44"/>
        </w:rPr>
        <w:t xml:space="preserve"> </w:t>
      </w:r>
      <w:r w:rsidRPr="003A42C8">
        <w:rPr>
          <w:rStyle w:val="Enfasigrassetto"/>
          <w:rFonts w:cstheme="minorHAnsi"/>
          <w:b/>
          <w:sz w:val="16"/>
          <w:szCs w:val="16"/>
        </w:rPr>
        <w:tab/>
      </w:r>
      <w:r w:rsidRPr="003A42C8">
        <w:rPr>
          <w:rStyle w:val="Enfasigrassetto"/>
          <w:rFonts w:cstheme="minorHAnsi"/>
          <w:b/>
          <w:sz w:val="16"/>
          <w:szCs w:val="16"/>
        </w:rPr>
        <w:tab/>
      </w:r>
      <w:r w:rsidRPr="003A42C8">
        <w:rPr>
          <w:rStyle w:val="Enfasigrassetto"/>
          <w:rFonts w:cstheme="minorHAnsi"/>
          <w:b/>
          <w:sz w:val="16"/>
          <w:szCs w:val="16"/>
        </w:rPr>
        <w:tab/>
      </w:r>
      <w:r w:rsidRPr="003A42C8">
        <w:rPr>
          <w:rStyle w:val="Enfasigrassetto"/>
          <w:rFonts w:cstheme="minorHAnsi"/>
          <w:b/>
          <w:sz w:val="16"/>
          <w:szCs w:val="16"/>
        </w:rPr>
        <w:tab/>
      </w:r>
      <w:r w:rsidRPr="003A42C8">
        <w:rPr>
          <w:rStyle w:val="Enfasigrassetto"/>
          <w:rFonts w:cstheme="minorHAnsi"/>
          <w:b/>
          <w:sz w:val="16"/>
          <w:szCs w:val="16"/>
        </w:rPr>
        <w:tab/>
      </w:r>
      <w:r w:rsidRPr="003A42C8">
        <w:rPr>
          <w:rStyle w:val="Enfasigrassetto"/>
          <w:rFonts w:cstheme="minorHAnsi"/>
          <w:i/>
          <w:sz w:val="16"/>
          <w:szCs w:val="16"/>
        </w:rPr>
        <w:t>Scheda creata il 1</w:t>
      </w:r>
      <w:r w:rsidR="00277E93">
        <w:rPr>
          <w:rStyle w:val="Enfasigrassetto"/>
          <w:rFonts w:cstheme="minorHAnsi"/>
          <w:i/>
          <w:sz w:val="16"/>
          <w:szCs w:val="16"/>
        </w:rPr>
        <w:t>7</w:t>
      </w:r>
      <w:r w:rsidRPr="003A42C8">
        <w:rPr>
          <w:rStyle w:val="Enfasigrassetto"/>
          <w:rFonts w:cstheme="minorHAnsi"/>
          <w:i/>
          <w:sz w:val="16"/>
          <w:szCs w:val="16"/>
        </w:rPr>
        <w:t xml:space="preserve"> giugno 2022</w:t>
      </w:r>
      <w:r w:rsidR="0005254F">
        <w:rPr>
          <w:rStyle w:val="Enfasigrassetto"/>
          <w:rFonts w:cstheme="minorHAnsi"/>
          <w:i/>
          <w:sz w:val="16"/>
          <w:szCs w:val="16"/>
        </w:rPr>
        <w:t>; Ultimo aggiornamento: 4 dicembre 2025</w:t>
      </w:r>
    </w:p>
    <w:p w14:paraId="43A28961" w14:textId="77777777" w:rsidR="00BE1B87" w:rsidRPr="003A42C8" w:rsidRDefault="00BE1B87" w:rsidP="003A42C8">
      <w:pPr>
        <w:spacing w:after="0" w:line="240" w:lineRule="auto"/>
        <w:jc w:val="both"/>
        <w:rPr>
          <w:rStyle w:val="Enfasigrassetto"/>
          <w:rFonts w:cstheme="minorHAnsi"/>
          <w:b/>
          <w:color w:val="C00000"/>
          <w:sz w:val="44"/>
          <w:szCs w:val="44"/>
        </w:rPr>
      </w:pPr>
      <w:r w:rsidRPr="003A42C8">
        <w:rPr>
          <w:rStyle w:val="Enfasigrassetto"/>
          <w:rFonts w:cstheme="minorHAnsi"/>
          <w:b/>
          <w:color w:val="C00000"/>
          <w:sz w:val="44"/>
          <w:szCs w:val="44"/>
        </w:rPr>
        <w:t>Descrizione bibliografica</w:t>
      </w:r>
    </w:p>
    <w:p w14:paraId="2DB77B85" w14:textId="063AF139" w:rsidR="0005254F" w:rsidRDefault="00BE1B87" w:rsidP="003A42C8">
      <w:pPr>
        <w:spacing w:after="0" w:line="240" w:lineRule="auto"/>
        <w:jc w:val="both"/>
        <w:rPr>
          <w:rFonts w:cstheme="minorHAnsi"/>
        </w:rPr>
      </w:pPr>
      <w:r w:rsidRPr="003A42C8">
        <w:rPr>
          <w:rFonts w:cstheme="minorHAnsi"/>
          <w:noProof/>
          <w:lang w:eastAsia="it-IT"/>
        </w:rPr>
        <w:drawing>
          <wp:inline distT="0" distB="0" distL="0" distR="0" wp14:anchorId="46A9B6CD" wp14:editId="1E2EF7B8">
            <wp:extent cx="2804400" cy="3960000"/>
            <wp:effectExtent l="0" t="0" r="0" b="2540"/>
            <wp:docPr id="1" name="Immagine 1" descr="copertina 9791259949066 Chimica ver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ertina 9791259949066 Chimica verd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04400" cy="3960000"/>
                    </a:xfrm>
                    <a:prstGeom prst="rect">
                      <a:avLst/>
                    </a:prstGeom>
                    <a:noFill/>
                    <a:ln>
                      <a:noFill/>
                    </a:ln>
                  </pic:spPr>
                </pic:pic>
              </a:graphicData>
            </a:graphic>
          </wp:inline>
        </w:drawing>
      </w:r>
      <w:r w:rsidR="0005254F">
        <w:rPr>
          <w:rFonts w:cstheme="minorHAnsi"/>
          <w:noProof/>
        </w:rPr>
        <w:drawing>
          <wp:inline distT="0" distB="0" distL="0" distR="0" wp14:anchorId="5236772D" wp14:editId="1E44C783">
            <wp:extent cx="2952000" cy="3960000"/>
            <wp:effectExtent l="0" t="0" r="1270" b="2540"/>
            <wp:docPr id="195182852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52000" cy="3960000"/>
                    </a:xfrm>
                    <a:prstGeom prst="rect">
                      <a:avLst/>
                    </a:prstGeom>
                    <a:noFill/>
                  </pic:spPr>
                </pic:pic>
              </a:graphicData>
            </a:graphic>
          </wp:inline>
        </w:drawing>
      </w:r>
    </w:p>
    <w:p w14:paraId="4D7D34E4" w14:textId="3F5CEEE4" w:rsidR="008F081D" w:rsidRPr="0005254F" w:rsidRDefault="00BE1B87" w:rsidP="003A42C8">
      <w:pPr>
        <w:spacing w:after="0" w:line="240" w:lineRule="auto"/>
        <w:jc w:val="both"/>
        <w:rPr>
          <w:rFonts w:cstheme="minorHAnsi"/>
          <w:sz w:val="32"/>
          <w:szCs w:val="32"/>
        </w:rPr>
      </w:pPr>
      <w:r w:rsidRPr="0005254F">
        <w:rPr>
          <w:rFonts w:cstheme="minorHAnsi"/>
          <w:sz w:val="32"/>
          <w:szCs w:val="32"/>
        </w:rPr>
        <w:t>*</w:t>
      </w:r>
      <w:r w:rsidRPr="0005254F">
        <w:rPr>
          <w:rFonts w:cstheme="minorHAnsi"/>
          <w:b/>
          <w:sz w:val="32"/>
          <w:szCs w:val="32"/>
        </w:rPr>
        <w:t xml:space="preserve">Chimica verde </w:t>
      </w:r>
      <w:r w:rsidRPr="0005254F">
        <w:rPr>
          <w:rFonts w:cstheme="minorHAnsi"/>
          <w:sz w:val="32"/>
          <w:szCs w:val="32"/>
        </w:rPr>
        <w:t>/ a cura di Luigi Campanella. - N. 1 (</w:t>
      </w:r>
      <w:proofErr w:type="gramStart"/>
      <w:r w:rsidRPr="0005254F">
        <w:rPr>
          <w:rFonts w:cstheme="minorHAnsi"/>
          <w:sz w:val="32"/>
          <w:szCs w:val="32"/>
        </w:rPr>
        <w:t>2022)-</w:t>
      </w:r>
      <w:proofErr w:type="gramEnd"/>
      <w:r w:rsidR="0005254F">
        <w:rPr>
          <w:rFonts w:cstheme="minorHAnsi"/>
          <w:sz w:val="32"/>
          <w:szCs w:val="32"/>
        </w:rPr>
        <w:t>n. 2 (2022)</w:t>
      </w:r>
      <w:r w:rsidRPr="0005254F">
        <w:rPr>
          <w:rFonts w:cstheme="minorHAnsi"/>
          <w:sz w:val="32"/>
          <w:szCs w:val="32"/>
        </w:rPr>
        <w:t xml:space="preserve">. - </w:t>
      </w:r>
      <w:proofErr w:type="gramStart"/>
      <w:r w:rsidRPr="0005254F">
        <w:rPr>
          <w:rFonts w:cstheme="minorHAnsi"/>
          <w:sz w:val="32"/>
          <w:szCs w:val="32"/>
        </w:rPr>
        <w:t>Roma :</w:t>
      </w:r>
      <w:proofErr w:type="gramEnd"/>
      <w:r w:rsidRPr="0005254F">
        <w:rPr>
          <w:rFonts w:cstheme="minorHAnsi"/>
          <w:sz w:val="32"/>
          <w:szCs w:val="32"/>
        </w:rPr>
        <w:t xml:space="preserve"> Aracne, 2022. </w:t>
      </w:r>
      <w:r w:rsidR="0005254F">
        <w:rPr>
          <w:rFonts w:cstheme="minorHAnsi"/>
          <w:sz w:val="32"/>
          <w:szCs w:val="32"/>
        </w:rPr>
        <w:t>–</w:t>
      </w:r>
      <w:r w:rsidRPr="0005254F">
        <w:rPr>
          <w:rFonts w:cstheme="minorHAnsi"/>
          <w:sz w:val="32"/>
          <w:szCs w:val="32"/>
        </w:rPr>
        <w:t xml:space="preserve"> </w:t>
      </w:r>
      <w:r w:rsidR="0005254F">
        <w:rPr>
          <w:rFonts w:cstheme="minorHAnsi"/>
          <w:sz w:val="32"/>
          <w:szCs w:val="32"/>
        </w:rPr>
        <w:t xml:space="preserve">2 </w:t>
      </w:r>
      <w:proofErr w:type="gramStart"/>
      <w:r w:rsidRPr="0005254F">
        <w:rPr>
          <w:rFonts w:cstheme="minorHAnsi"/>
          <w:sz w:val="32"/>
          <w:szCs w:val="32"/>
        </w:rPr>
        <w:t>volumi :</w:t>
      </w:r>
      <w:proofErr w:type="gramEnd"/>
      <w:r w:rsidRPr="0005254F">
        <w:rPr>
          <w:rFonts w:cstheme="minorHAnsi"/>
          <w:sz w:val="32"/>
          <w:szCs w:val="32"/>
        </w:rPr>
        <w:t xml:space="preserve"> </w:t>
      </w:r>
      <w:proofErr w:type="gramStart"/>
      <w:r w:rsidRPr="0005254F">
        <w:rPr>
          <w:rFonts w:cstheme="minorHAnsi"/>
          <w:sz w:val="32"/>
          <w:szCs w:val="32"/>
        </w:rPr>
        <w:t>ill. ;</w:t>
      </w:r>
      <w:proofErr w:type="gramEnd"/>
      <w:r w:rsidRPr="0005254F">
        <w:rPr>
          <w:rFonts w:cstheme="minorHAnsi"/>
          <w:sz w:val="32"/>
          <w:szCs w:val="32"/>
        </w:rPr>
        <w:t xml:space="preserve"> 24 cm. ((Nell'occhietto: Chimica verde </w:t>
      </w:r>
      <w:proofErr w:type="spellStart"/>
      <w:r w:rsidRPr="0005254F">
        <w:rPr>
          <w:rFonts w:cstheme="minorHAnsi"/>
          <w:sz w:val="32"/>
          <w:szCs w:val="32"/>
        </w:rPr>
        <w:t>bionet</w:t>
      </w:r>
      <w:proofErr w:type="spellEnd"/>
      <w:r w:rsidRPr="0005254F">
        <w:rPr>
          <w:rFonts w:cstheme="minorHAnsi"/>
          <w:sz w:val="32"/>
          <w:szCs w:val="32"/>
        </w:rPr>
        <w:t>. - CFI1080777</w:t>
      </w:r>
    </w:p>
    <w:p w14:paraId="685D4AFA" w14:textId="3035DAFE" w:rsidR="0005254F" w:rsidRPr="0005254F" w:rsidRDefault="0005254F" w:rsidP="003A42C8">
      <w:pPr>
        <w:spacing w:after="0" w:line="240" w:lineRule="auto"/>
        <w:jc w:val="both"/>
        <w:rPr>
          <w:rFonts w:cstheme="minorHAnsi"/>
          <w:sz w:val="32"/>
          <w:szCs w:val="32"/>
        </w:rPr>
      </w:pPr>
      <w:r w:rsidRPr="0005254F">
        <w:rPr>
          <w:rFonts w:cstheme="minorHAnsi"/>
          <w:sz w:val="32"/>
          <w:szCs w:val="32"/>
        </w:rPr>
        <w:t>Curatore</w:t>
      </w:r>
      <w:r w:rsidRPr="0005254F">
        <w:rPr>
          <w:rFonts w:cstheme="minorHAnsi"/>
          <w:sz w:val="32"/>
          <w:szCs w:val="32"/>
        </w:rPr>
        <w:t>:</w:t>
      </w:r>
      <w:r w:rsidRPr="0005254F">
        <w:rPr>
          <w:rFonts w:cstheme="minorHAnsi"/>
          <w:sz w:val="32"/>
          <w:szCs w:val="32"/>
        </w:rPr>
        <w:t xml:space="preserve"> Campanella, Luigi &lt;1938- &gt; </w:t>
      </w:r>
      <w:r w:rsidRPr="0005254F">
        <w:rPr>
          <w:rFonts w:cstheme="minorHAnsi"/>
          <w:sz w:val="32"/>
          <w:szCs w:val="32"/>
        </w:rPr>
        <w:t xml:space="preserve"> </w:t>
      </w:r>
    </w:p>
    <w:p w14:paraId="5762E2D2" w14:textId="2E32A7D4" w:rsidR="00BE1B87" w:rsidRPr="0005254F" w:rsidRDefault="00BE1B87" w:rsidP="003A42C8">
      <w:pPr>
        <w:spacing w:after="0" w:line="240" w:lineRule="auto"/>
        <w:jc w:val="both"/>
        <w:rPr>
          <w:rFonts w:cstheme="minorHAnsi"/>
          <w:sz w:val="32"/>
          <w:szCs w:val="32"/>
        </w:rPr>
      </w:pPr>
      <w:r w:rsidRPr="0005254F">
        <w:rPr>
          <w:rFonts w:cstheme="minorHAnsi"/>
          <w:sz w:val="32"/>
          <w:szCs w:val="32"/>
        </w:rPr>
        <w:t xml:space="preserve">Autore: Chimica verde </w:t>
      </w:r>
      <w:proofErr w:type="spellStart"/>
      <w:r w:rsidRPr="0005254F">
        <w:rPr>
          <w:rFonts w:cstheme="minorHAnsi"/>
          <w:sz w:val="32"/>
          <w:szCs w:val="32"/>
        </w:rPr>
        <w:t>bionet</w:t>
      </w:r>
      <w:proofErr w:type="spellEnd"/>
      <w:r w:rsidRPr="0005254F">
        <w:rPr>
          <w:rFonts w:cstheme="minorHAnsi"/>
          <w:sz w:val="32"/>
          <w:szCs w:val="32"/>
        </w:rPr>
        <w:t xml:space="preserve"> &lt;associazione&gt; </w:t>
      </w:r>
    </w:p>
    <w:p w14:paraId="07A483E2" w14:textId="551799BB" w:rsidR="00BE1B87" w:rsidRPr="0005254F" w:rsidRDefault="00BE1B87" w:rsidP="003A42C8">
      <w:pPr>
        <w:spacing w:after="0" w:line="240" w:lineRule="auto"/>
        <w:jc w:val="both"/>
        <w:rPr>
          <w:rFonts w:cstheme="minorHAnsi"/>
          <w:sz w:val="32"/>
          <w:szCs w:val="32"/>
        </w:rPr>
      </w:pPr>
      <w:r w:rsidRPr="0005254F">
        <w:rPr>
          <w:rFonts w:cstheme="minorHAnsi"/>
          <w:sz w:val="32"/>
          <w:szCs w:val="32"/>
        </w:rPr>
        <w:t xml:space="preserve">Soggetto: Materie prime </w:t>
      </w:r>
      <w:r w:rsidR="003A42C8" w:rsidRPr="0005254F">
        <w:rPr>
          <w:rFonts w:cstheme="minorHAnsi"/>
          <w:sz w:val="32"/>
          <w:szCs w:val="32"/>
        </w:rPr>
        <w:t xml:space="preserve">di origine vegetale - </w:t>
      </w:r>
      <w:r w:rsidRPr="0005254F">
        <w:rPr>
          <w:rFonts w:cstheme="minorHAnsi"/>
          <w:sz w:val="32"/>
          <w:szCs w:val="32"/>
        </w:rPr>
        <w:t>Periodici</w:t>
      </w:r>
      <w:r w:rsidR="007B0940" w:rsidRPr="0005254F">
        <w:rPr>
          <w:rFonts w:cstheme="minorHAnsi"/>
          <w:sz w:val="32"/>
          <w:szCs w:val="32"/>
        </w:rPr>
        <w:t xml:space="preserve">; Chimica – Sostenibilità ambientale </w:t>
      </w:r>
      <w:r w:rsidR="0005254F" w:rsidRPr="0005254F">
        <w:rPr>
          <w:rFonts w:cstheme="minorHAnsi"/>
          <w:sz w:val="32"/>
          <w:szCs w:val="32"/>
        </w:rPr>
        <w:t>–</w:t>
      </w:r>
      <w:r w:rsidR="007B0940" w:rsidRPr="0005254F">
        <w:rPr>
          <w:rFonts w:cstheme="minorHAnsi"/>
          <w:sz w:val="32"/>
          <w:szCs w:val="32"/>
        </w:rPr>
        <w:t xml:space="preserve"> Periodici</w:t>
      </w:r>
      <w:r w:rsidR="0005254F" w:rsidRPr="0005254F">
        <w:rPr>
          <w:rFonts w:cstheme="minorHAnsi"/>
          <w:sz w:val="32"/>
          <w:szCs w:val="32"/>
        </w:rPr>
        <w:t xml:space="preserve">; </w:t>
      </w:r>
      <w:r w:rsidR="0005254F" w:rsidRPr="0005254F">
        <w:rPr>
          <w:rFonts w:cstheme="minorHAnsi"/>
          <w:sz w:val="32"/>
          <w:szCs w:val="32"/>
        </w:rPr>
        <w:t>Sviluppo sostenibile - Periodici</w:t>
      </w:r>
    </w:p>
    <w:p w14:paraId="4D6436AA" w14:textId="61D3828D" w:rsidR="003A42C8" w:rsidRPr="0005254F" w:rsidRDefault="0005254F" w:rsidP="003A42C8">
      <w:pPr>
        <w:spacing w:after="0" w:line="240" w:lineRule="auto"/>
        <w:jc w:val="both"/>
        <w:rPr>
          <w:rFonts w:cstheme="minorHAnsi"/>
          <w:bCs/>
          <w:sz w:val="32"/>
          <w:szCs w:val="32"/>
        </w:rPr>
      </w:pPr>
      <w:r w:rsidRPr="0005254F">
        <w:rPr>
          <w:rFonts w:cstheme="minorHAnsi"/>
          <w:bCs/>
          <w:sz w:val="32"/>
          <w:szCs w:val="32"/>
        </w:rPr>
        <w:t>Classe: D</w:t>
      </w:r>
      <w:r w:rsidRPr="0005254F">
        <w:rPr>
          <w:rFonts w:cstheme="minorHAnsi"/>
          <w:bCs/>
          <w:sz w:val="32"/>
          <w:szCs w:val="32"/>
        </w:rPr>
        <w:t>338.92705</w:t>
      </w:r>
    </w:p>
    <w:p w14:paraId="77FBFE3A" w14:textId="77777777" w:rsidR="0005254F" w:rsidRPr="0005254F" w:rsidRDefault="0005254F" w:rsidP="003A42C8">
      <w:pPr>
        <w:spacing w:after="0" w:line="240" w:lineRule="auto"/>
        <w:jc w:val="both"/>
        <w:rPr>
          <w:rFonts w:cstheme="minorHAnsi"/>
          <w:bCs/>
        </w:rPr>
      </w:pPr>
    </w:p>
    <w:p w14:paraId="1891EF20" w14:textId="77777777" w:rsidR="00BE1B87" w:rsidRPr="003A42C8" w:rsidRDefault="00BE1B87" w:rsidP="003A42C8">
      <w:pPr>
        <w:spacing w:after="0" w:line="240" w:lineRule="auto"/>
        <w:jc w:val="both"/>
        <w:rPr>
          <w:rFonts w:cstheme="minorHAnsi"/>
          <w:b/>
          <w:color w:val="C00000"/>
          <w:sz w:val="44"/>
          <w:szCs w:val="44"/>
        </w:rPr>
      </w:pPr>
      <w:r w:rsidRPr="003A42C8">
        <w:rPr>
          <w:rFonts w:cstheme="minorHAnsi"/>
          <w:b/>
          <w:color w:val="C00000"/>
          <w:sz w:val="44"/>
          <w:szCs w:val="44"/>
        </w:rPr>
        <w:t>Informazioni storico-bibliografiche</w:t>
      </w:r>
    </w:p>
    <w:p w14:paraId="318F7086" w14:textId="77777777" w:rsidR="003A42C8" w:rsidRPr="0005254F" w:rsidRDefault="003A42C8" w:rsidP="003A42C8">
      <w:pPr>
        <w:spacing w:after="0" w:line="240" w:lineRule="auto"/>
        <w:jc w:val="both"/>
        <w:rPr>
          <w:rFonts w:eastAsia="Times New Roman" w:cstheme="minorHAnsi"/>
          <w:lang w:eastAsia="it-IT"/>
        </w:rPr>
      </w:pPr>
      <w:r w:rsidRPr="0005254F">
        <w:rPr>
          <w:rFonts w:cstheme="minorHAnsi"/>
        </w:rPr>
        <w:t>Chimica Verde intende diffondere e pubblicizzare una cultura chimica nella quale gli aspetti di economia circolare e sostenibilità siano prevalenti. In questo senso la pubblicazione è una fedele ed aggiornata raccolta di ricerche di successo nel campo.</w:t>
      </w:r>
      <w:r w:rsidRPr="0005254F">
        <w:rPr>
          <w:rFonts w:eastAsia="Times New Roman" w:cstheme="minorHAnsi"/>
          <w:lang w:eastAsia="it-IT"/>
        </w:rPr>
        <w:t xml:space="preserve"> </w:t>
      </w:r>
      <w:hyperlink r:id="rId7" w:history="1">
        <w:r w:rsidRPr="0005254F">
          <w:rPr>
            <w:rStyle w:val="Collegamentoipertestuale"/>
            <w:rFonts w:eastAsia="Times New Roman" w:cstheme="minorHAnsi"/>
            <w:lang w:eastAsia="it-IT"/>
          </w:rPr>
          <w:t>https://www.aracneeditrice.eu/it/rivista/chimica-verde-.html</w:t>
        </w:r>
      </w:hyperlink>
    </w:p>
    <w:p w14:paraId="66DC8C9C" w14:textId="77777777" w:rsidR="003A42C8" w:rsidRPr="0005254F" w:rsidRDefault="003A42C8" w:rsidP="003A42C8">
      <w:pPr>
        <w:spacing w:after="0" w:line="240" w:lineRule="auto"/>
        <w:jc w:val="both"/>
        <w:rPr>
          <w:rFonts w:eastAsia="Times New Roman" w:cstheme="minorHAnsi"/>
          <w:lang w:eastAsia="it-IT"/>
        </w:rPr>
      </w:pPr>
    </w:p>
    <w:p w14:paraId="66E42E51" w14:textId="690A2605" w:rsidR="00BE1B87" w:rsidRPr="0005254F" w:rsidRDefault="00BE1B87" w:rsidP="003A42C8">
      <w:pPr>
        <w:spacing w:after="0" w:line="240" w:lineRule="auto"/>
        <w:jc w:val="both"/>
        <w:rPr>
          <w:rFonts w:eastAsia="Times New Roman" w:cstheme="minorHAnsi"/>
          <w:lang w:eastAsia="it-IT"/>
        </w:rPr>
      </w:pPr>
      <w:r w:rsidRPr="0005254F">
        <w:rPr>
          <w:rFonts w:eastAsia="Times New Roman" w:cstheme="minorHAnsi"/>
          <w:lang w:eastAsia="it-IT"/>
        </w:rPr>
        <w:t xml:space="preserve">Chimica Verde </w:t>
      </w:r>
      <w:proofErr w:type="spellStart"/>
      <w:r w:rsidRPr="0005254F">
        <w:rPr>
          <w:rFonts w:eastAsia="Times New Roman" w:cstheme="minorHAnsi"/>
          <w:lang w:eastAsia="it-IT"/>
        </w:rPr>
        <w:t>Bionet</w:t>
      </w:r>
      <w:proofErr w:type="spellEnd"/>
      <w:r w:rsidRPr="0005254F">
        <w:rPr>
          <w:rFonts w:eastAsia="Times New Roman" w:cstheme="minorHAnsi"/>
          <w:lang w:eastAsia="it-IT"/>
        </w:rPr>
        <w:t xml:space="preserve"> è un’associazione senza fini di lucro costituita il 21 marzo 2006 da Legambiente Nazionale e da un gruppo di esperti del mondo della ricerca e dell’università italiana, con lo scopo di promuovere e sviluppare la ricerca e l’applicazione industriale di materie prime di origine vegetale. A puro titolo di esempio gli impieghi possono riguardare: </w:t>
      </w:r>
      <w:r w:rsidRPr="0005254F">
        <w:rPr>
          <w:rFonts w:eastAsia="Times New Roman" w:cstheme="minorHAnsi"/>
          <w:i/>
          <w:iCs/>
          <w:lang w:eastAsia="it-IT"/>
        </w:rPr>
        <w:t>energia, coloranti, solventi e addensanti, tessuti e materiali compositi, lubrificanti, tensioattivi, bioplastiche, prodotti per cosmesi e nutraceutica.</w:t>
      </w:r>
      <w:r w:rsidR="0005254F">
        <w:rPr>
          <w:rFonts w:eastAsia="Times New Roman" w:cstheme="minorHAnsi"/>
          <w:i/>
          <w:iCs/>
          <w:lang w:eastAsia="it-IT"/>
        </w:rPr>
        <w:t xml:space="preserve"> </w:t>
      </w:r>
      <w:r w:rsidRPr="0005254F">
        <w:rPr>
          <w:rFonts w:eastAsia="Times New Roman" w:cstheme="minorHAnsi"/>
          <w:color w:val="000000"/>
          <w:lang w:eastAsia="it-IT"/>
        </w:rPr>
        <w:t xml:space="preserve">Per statuto tutte le materie prime e le filiere di lavorazione promosse dall’associazione </w:t>
      </w:r>
      <w:r w:rsidRPr="0005254F">
        <w:rPr>
          <w:rFonts w:eastAsia="Times New Roman" w:cstheme="minorHAnsi"/>
          <w:b/>
          <w:bCs/>
          <w:color w:val="000000"/>
          <w:lang w:eastAsia="it-IT"/>
        </w:rPr>
        <w:t>devono rispettare criteri di sostenibilità ambientale e di tutela della biodiversità e del paesaggio.</w:t>
      </w:r>
      <w:r w:rsidRPr="0005254F">
        <w:rPr>
          <w:rFonts w:eastAsia="Times New Roman" w:cstheme="minorHAnsi"/>
          <w:color w:val="000000"/>
          <w:lang w:eastAsia="it-IT"/>
        </w:rPr>
        <w:t xml:space="preserve"> Le principali competenze e attività </w:t>
      </w:r>
      <w:r w:rsidRPr="0005254F">
        <w:rPr>
          <w:rFonts w:eastAsia="Times New Roman" w:cstheme="minorHAnsi"/>
          <w:color w:val="000000"/>
          <w:lang w:eastAsia="it-IT"/>
        </w:rPr>
        <w:lastRenderedPageBreak/>
        <w:t xml:space="preserve">dell’associazione sono dedicate alla fase della produzione agricola, dei relativi bilanci ambientali e dell’analisi del ciclo di vita di prodotti e co-prodotti di origine vegetale. In tale direzione ha sviluppato particolari competenze nella valutazione della carbon footprint e delle potenzialità di sequestro del carbonio nel terreno. </w:t>
      </w:r>
      <w:r w:rsidRPr="0005254F">
        <w:rPr>
          <w:rFonts w:eastAsia="Times New Roman" w:cstheme="minorHAnsi"/>
          <w:b/>
          <w:bCs/>
          <w:color w:val="000000"/>
          <w:lang w:eastAsia="it-IT"/>
        </w:rPr>
        <w:t>L’associazione è aperta a imprese pubbliche e private, persone fisiche e altre associazioni che condividano queste finalità, previa la sottoscrizione della “carta degli impegni” che ogni nuovo socio è tenuto a sottoscrivere e previo parere positivo del Consiglio Direttivo.</w:t>
      </w:r>
      <w:r w:rsidR="0005254F">
        <w:rPr>
          <w:rFonts w:eastAsia="Times New Roman" w:cstheme="minorHAnsi"/>
          <w:b/>
          <w:bCs/>
          <w:color w:val="000000"/>
          <w:lang w:eastAsia="it-IT"/>
        </w:rPr>
        <w:t xml:space="preserve"> </w:t>
      </w:r>
      <w:r w:rsidRPr="0005254F">
        <w:rPr>
          <w:rFonts w:eastAsia="Times New Roman" w:cstheme="minorHAnsi"/>
          <w:lang w:eastAsia="it-IT"/>
        </w:rPr>
        <w:t>Ogni socio si impegna a promuovere e sviluppare prodotti ecocompatibili, non utilizzando metodi di lavoro, tecnologie o materiali pericolosi per la salute o ad elevato impatto ambientale, offrendo un’alternativa ai prodotti chimici di origine petrolchimica.</w:t>
      </w:r>
      <w:r w:rsidR="0005254F">
        <w:rPr>
          <w:rFonts w:eastAsia="Times New Roman" w:cstheme="minorHAnsi"/>
          <w:lang w:eastAsia="it-IT"/>
        </w:rPr>
        <w:t xml:space="preserve"> </w:t>
      </w:r>
      <w:r w:rsidRPr="0005254F">
        <w:rPr>
          <w:rFonts w:eastAsia="Times New Roman" w:cstheme="minorHAnsi"/>
          <w:lang w:eastAsia="it-IT"/>
        </w:rPr>
        <w:t xml:space="preserve">Ci dedichiamo ai seguenti </w:t>
      </w:r>
      <w:r w:rsidRPr="0005254F">
        <w:rPr>
          <w:rFonts w:eastAsia="Times New Roman" w:cstheme="minorHAnsi"/>
          <w:b/>
          <w:bCs/>
          <w:lang w:eastAsia="it-IT"/>
        </w:rPr>
        <w:t>settori</w:t>
      </w:r>
      <w:r w:rsidRPr="0005254F">
        <w:rPr>
          <w:rFonts w:eastAsia="Times New Roman" w:cstheme="minorHAnsi"/>
          <w:lang w:eastAsia="it-IT"/>
        </w:rPr>
        <w:t>:</w:t>
      </w:r>
    </w:p>
    <w:p w14:paraId="5AD1C8B1" w14:textId="77777777" w:rsidR="00BE1B87" w:rsidRPr="0005254F" w:rsidRDefault="00BE1B87" w:rsidP="003A42C8">
      <w:pPr>
        <w:numPr>
          <w:ilvl w:val="0"/>
          <w:numId w:val="1"/>
        </w:numPr>
        <w:spacing w:after="0" w:line="240" w:lineRule="auto"/>
        <w:jc w:val="both"/>
        <w:rPr>
          <w:rFonts w:eastAsia="Times New Roman" w:cstheme="minorHAnsi"/>
          <w:lang w:eastAsia="it-IT"/>
        </w:rPr>
      </w:pPr>
      <w:r w:rsidRPr="0005254F">
        <w:rPr>
          <w:rFonts w:eastAsia="Times New Roman" w:cstheme="minorHAnsi"/>
          <w:lang w:eastAsia="it-IT"/>
        </w:rPr>
        <w:t>Energia da biomasse vegetali</w:t>
      </w:r>
    </w:p>
    <w:p w14:paraId="3D0D2463" w14:textId="77777777" w:rsidR="00BE1B87" w:rsidRPr="0005254F" w:rsidRDefault="00BE1B87" w:rsidP="003A42C8">
      <w:pPr>
        <w:numPr>
          <w:ilvl w:val="0"/>
          <w:numId w:val="1"/>
        </w:numPr>
        <w:spacing w:after="0" w:line="240" w:lineRule="auto"/>
        <w:jc w:val="both"/>
        <w:rPr>
          <w:rFonts w:eastAsia="Times New Roman" w:cstheme="minorHAnsi"/>
          <w:lang w:eastAsia="it-IT"/>
        </w:rPr>
      </w:pPr>
      <w:r w:rsidRPr="0005254F">
        <w:rPr>
          <w:rFonts w:eastAsia="Times New Roman" w:cstheme="minorHAnsi"/>
          <w:lang w:eastAsia="it-IT"/>
        </w:rPr>
        <w:t>Coloranti, solventi, addensanti naturali</w:t>
      </w:r>
    </w:p>
    <w:p w14:paraId="3C39CDFF" w14:textId="77777777" w:rsidR="00BE1B87" w:rsidRPr="0005254F" w:rsidRDefault="00BE1B87" w:rsidP="003A42C8">
      <w:pPr>
        <w:numPr>
          <w:ilvl w:val="0"/>
          <w:numId w:val="1"/>
        </w:numPr>
        <w:spacing w:after="0" w:line="240" w:lineRule="auto"/>
        <w:jc w:val="both"/>
        <w:rPr>
          <w:rFonts w:eastAsia="Times New Roman" w:cstheme="minorHAnsi"/>
          <w:lang w:eastAsia="it-IT"/>
        </w:rPr>
      </w:pPr>
      <w:r w:rsidRPr="0005254F">
        <w:rPr>
          <w:rFonts w:eastAsia="Times New Roman" w:cstheme="minorHAnsi"/>
          <w:lang w:eastAsia="it-IT"/>
        </w:rPr>
        <w:t>Colture da fibra</w:t>
      </w:r>
    </w:p>
    <w:p w14:paraId="10A075EC" w14:textId="77777777" w:rsidR="00BE1B87" w:rsidRPr="0005254F" w:rsidRDefault="00BE1B87" w:rsidP="003A42C8">
      <w:pPr>
        <w:numPr>
          <w:ilvl w:val="0"/>
          <w:numId w:val="1"/>
        </w:numPr>
        <w:spacing w:after="0" w:line="240" w:lineRule="auto"/>
        <w:jc w:val="both"/>
        <w:rPr>
          <w:rFonts w:eastAsia="Times New Roman" w:cstheme="minorHAnsi"/>
          <w:lang w:eastAsia="it-IT"/>
        </w:rPr>
      </w:pPr>
      <w:r w:rsidRPr="0005254F">
        <w:rPr>
          <w:rFonts w:eastAsia="Times New Roman" w:cstheme="minorHAnsi"/>
          <w:lang w:eastAsia="it-IT"/>
        </w:rPr>
        <w:t>Biocarburanti avanzati</w:t>
      </w:r>
    </w:p>
    <w:p w14:paraId="76D8A0BE" w14:textId="77777777" w:rsidR="00BE1B87" w:rsidRPr="0005254F" w:rsidRDefault="00BE1B87" w:rsidP="003A42C8">
      <w:pPr>
        <w:numPr>
          <w:ilvl w:val="0"/>
          <w:numId w:val="1"/>
        </w:numPr>
        <w:spacing w:after="0" w:line="240" w:lineRule="auto"/>
        <w:jc w:val="both"/>
        <w:rPr>
          <w:rFonts w:eastAsia="Times New Roman" w:cstheme="minorHAnsi"/>
          <w:lang w:eastAsia="it-IT"/>
        </w:rPr>
      </w:pPr>
      <w:proofErr w:type="spellStart"/>
      <w:r w:rsidRPr="0005254F">
        <w:rPr>
          <w:rFonts w:eastAsia="Times New Roman" w:cstheme="minorHAnsi"/>
          <w:lang w:eastAsia="it-IT"/>
        </w:rPr>
        <w:t>Biolubrificanti</w:t>
      </w:r>
      <w:proofErr w:type="spellEnd"/>
      <w:r w:rsidRPr="0005254F">
        <w:rPr>
          <w:rFonts w:eastAsia="Times New Roman" w:cstheme="minorHAnsi"/>
          <w:lang w:eastAsia="it-IT"/>
        </w:rPr>
        <w:t>, oli tecnici, tensioattivi</w:t>
      </w:r>
    </w:p>
    <w:p w14:paraId="6F9B9A32" w14:textId="77777777" w:rsidR="00BE1B87" w:rsidRPr="0005254F" w:rsidRDefault="00BE1B87" w:rsidP="003A42C8">
      <w:pPr>
        <w:numPr>
          <w:ilvl w:val="0"/>
          <w:numId w:val="1"/>
        </w:numPr>
        <w:spacing w:after="0" w:line="240" w:lineRule="auto"/>
        <w:jc w:val="both"/>
        <w:rPr>
          <w:rFonts w:eastAsia="Times New Roman" w:cstheme="minorHAnsi"/>
          <w:lang w:eastAsia="it-IT"/>
        </w:rPr>
      </w:pPr>
      <w:r w:rsidRPr="0005254F">
        <w:rPr>
          <w:rFonts w:eastAsia="Times New Roman" w:cstheme="minorHAnsi"/>
          <w:lang w:eastAsia="it-IT"/>
        </w:rPr>
        <w:t>Bioplastiche e biopolimeri</w:t>
      </w:r>
    </w:p>
    <w:p w14:paraId="3F777610" w14:textId="77777777" w:rsidR="00BE1B87" w:rsidRPr="0005254F" w:rsidRDefault="00BE1B87" w:rsidP="003A42C8">
      <w:pPr>
        <w:numPr>
          <w:ilvl w:val="0"/>
          <w:numId w:val="1"/>
        </w:numPr>
        <w:spacing w:after="0" w:line="240" w:lineRule="auto"/>
        <w:jc w:val="both"/>
        <w:rPr>
          <w:rFonts w:eastAsia="Times New Roman" w:cstheme="minorHAnsi"/>
          <w:lang w:eastAsia="it-IT"/>
        </w:rPr>
      </w:pPr>
      <w:r w:rsidRPr="0005254F">
        <w:rPr>
          <w:rFonts w:eastAsia="Times New Roman" w:cstheme="minorHAnsi"/>
          <w:lang w:eastAsia="it-IT"/>
        </w:rPr>
        <w:t>Materie prime rinnovabili per la chimica fine</w:t>
      </w:r>
    </w:p>
    <w:p w14:paraId="64F90E11" w14:textId="77777777" w:rsidR="00BE1B87" w:rsidRPr="0005254F" w:rsidRDefault="00BE1B87" w:rsidP="003A42C8">
      <w:pPr>
        <w:numPr>
          <w:ilvl w:val="0"/>
          <w:numId w:val="1"/>
        </w:numPr>
        <w:spacing w:after="0" w:line="240" w:lineRule="auto"/>
        <w:jc w:val="both"/>
        <w:rPr>
          <w:rFonts w:eastAsia="Times New Roman" w:cstheme="minorHAnsi"/>
          <w:lang w:eastAsia="it-IT"/>
        </w:rPr>
      </w:pPr>
      <w:r w:rsidRPr="0005254F">
        <w:rPr>
          <w:rFonts w:eastAsia="Times New Roman" w:cstheme="minorHAnsi"/>
          <w:lang w:eastAsia="it-IT"/>
        </w:rPr>
        <w:t>Mezzi tecnici per l’agricoltura</w:t>
      </w:r>
    </w:p>
    <w:p w14:paraId="419D7C3D" w14:textId="77777777" w:rsidR="00BE1B87" w:rsidRPr="0005254F" w:rsidRDefault="00BE1B87" w:rsidP="003A42C8">
      <w:pPr>
        <w:numPr>
          <w:ilvl w:val="0"/>
          <w:numId w:val="1"/>
        </w:numPr>
        <w:spacing w:after="0" w:line="240" w:lineRule="auto"/>
        <w:jc w:val="both"/>
        <w:rPr>
          <w:rFonts w:eastAsia="Times New Roman" w:cstheme="minorHAnsi"/>
          <w:lang w:eastAsia="it-IT"/>
        </w:rPr>
      </w:pPr>
      <w:r w:rsidRPr="0005254F">
        <w:rPr>
          <w:rFonts w:eastAsia="Times New Roman" w:cstheme="minorHAnsi"/>
          <w:lang w:eastAsia="it-IT"/>
        </w:rPr>
        <w:t>Cosmeceutica</w:t>
      </w:r>
    </w:p>
    <w:p w14:paraId="51B416BC" w14:textId="77777777" w:rsidR="00BE1B87" w:rsidRPr="0005254F" w:rsidRDefault="00BE1B87" w:rsidP="003A42C8">
      <w:pPr>
        <w:numPr>
          <w:ilvl w:val="0"/>
          <w:numId w:val="1"/>
        </w:numPr>
        <w:spacing w:after="0" w:line="240" w:lineRule="auto"/>
        <w:jc w:val="both"/>
        <w:rPr>
          <w:rFonts w:eastAsia="Times New Roman" w:cstheme="minorHAnsi"/>
          <w:lang w:eastAsia="it-IT"/>
        </w:rPr>
      </w:pPr>
      <w:r w:rsidRPr="0005254F">
        <w:rPr>
          <w:rFonts w:eastAsia="Times New Roman" w:cstheme="minorHAnsi"/>
          <w:lang w:eastAsia="it-IT"/>
        </w:rPr>
        <w:t>Detergenza</w:t>
      </w:r>
    </w:p>
    <w:p w14:paraId="04D91DB1" w14:textId="77777777" w:rsidR="00BE1B87" w:rsidRPr="0005254F" w:rsidRDefault="00BE1B87" w:rsidP="003A42C8">
      <w:pPr>
        <w:numPr>
          <w:ilvl w:val="0"/>
          <w:numId w:val="1"/>
        </w:numPr>
        <w:spacing w:after="0" w:line="240" w:lineRule="auto"/>
        <w:jc w:val="both"/>
        <w:rPr>
          <w:rFonts w:eastAsia="Times New Roman" w:cstheme="minorHAnsi"/>
          <w:lang w:eastAsia="it-IT"/>
        </w:rPr>
      </w:pPr>
      <w:r w:rsidRPr="0005254F">
        <w:rPr>
          <w:rFonts w:eastAsia="Times New Roman" w:cstheme="minorHAnsi"/>
          <w:lang w:eastAsia="it-IT"/>
        </w:rPr>
        <w:t>Ittica</w:t>
      </w:r>
    </w:p>
    <w:p w14:paraId="1854B84A" w14:textId="77777777" w:rsidR="00BE1B87" w:rsidRPr="0005254F" w:rsidRDefault="00BE1B87" w:rsidP="003A42C8">
      <w:pPr>
        <w:spacing w:after="0" w:line="240" w:lineRule="auto"/>
        <w:jc w:val="both"/>
        <w:rPr>
          <w:rFonts w:eastAsia="Times New Roman" w:cstheme="minorHAnsi"/>
          <w:lang w:eastAsia="it-IT"/>
        </w:rPr>
      </w:pPr>
      <w:r w:rsidRPr="0005254F">
        <w:rPr>
          <w:rFonts w:eastAsia="Times New Roman" w:cstheme="minorHAnsi"/>
          <w:lang w:eastAsia="it-IT"/>
        </w:rPr>
        <w:t xml:space="preserve">Le nostre </w:t>
      </w:r>
      <w:r w:rsidRPr="0005254F">
        <w:rPr>
          <w:rFonts w:eastAsia="Times New Roman" w:cstheme="minorHAnsi"/>
          <w:b/>
          <w:bCs/>
          <w:lang w:eastAsia="it-IT"/>
        </w:rPr>
        <w:t>attività</w:t>
      </w:r>
      <w:r w:rsidRPr="0005254F">
        <w:rPr>
          <w:rFonts w:eastAsia="Times New Roman" w:cstheme="minorHAnsi"/>
          <w:lang w:eastAsia="it-IT"/>
        </w:rPr>
        <w:t xml:space="preserve"> sono:</w:t>
      </w:r>
    </w:p>
    <w:p w14:paraId="052EB013" w14:textId="77777777" w:rsidR="00BE1B87" w:rsidRPr="0005254F" w:rsidRDefault="00BE1B87" w:rsidP="003A42C8">
      <w:pPr>
        <w:numPr>
          <w:ilvl w:val="0"/>
          <w:numId w:val="2"/>
        </w:numPr>
        <w:spacing w:after="0" w:line="240" w:lineRule="auto"/>
        <w:jc w:val="both"/>
        <w:rPr>
          <w:rFonts w:eastAsia="Times New Roman" w:cstheme="minorHAnsi"/>
          <w:lang w:eastAsia="it-IT"/>
        </w:rPr>
      </w:pPr>
      <w:r w:rsidRPr="0005254F">
        <w:rPr>
          <w:rFonts w:eastAsia="Times New Roman" w:cstheme="minorHAnsi"/>
          <w:lang w:eastAsia="it-IT"/>
        </w:rPr>
        <w:t>promozione e sviluppo di filiere agroindustriali per la produzione di energia e materiali a partire da prodotti vegetali; realizzazione di progetti e convegni in questo ambito;</w:t>
      </w:r>
    </w:p>
    <w:p w14:paraId="6B257D6D" w14:textId="77777777" w:rsidR="00BE1B87" w:rsidRPr="0005254F" w:rsidRDefault="00BE1B87" w:rsidP="003A42C8">
      <w:pPr>
        <w:numPr>
          <w:ilvl w:val="0"/>
          <w:numId w:val="2"/>
        </w:numPr>
        <w:spacing w:after="0" w:line="240" w:lineRule="auto"/>
        <w:jc w:val="both"/>
        <w:rPr>
          <w:rFonts w:eastAsia="Times New Roman" w:cstheme="minorHAnsi"/>
          <w:lang w:eastAsia="it-IT"/>
        </w:rPr>
      </w:pPr>
      <w:r w:rsidRPr="0005254F">
        <w:rPr>
          <w:rFonts w:eastAsia="Times New Roman" w:cstheme="minorHAnsi"/>
          <w:lang w:eastAsia="it-IT"/>
        </w:rPr>
        <w:t>consulenza scientifica agro-industriale;</w:t>
      </w:r>
    </w:p>
    <w:p w14:paraId="1849A51A" w14:textId="77777777" w:rsidR="00BE1B87" w:rsidRPr="0005254F" w:rsidRDefault="00BE1B87" w:rsidP="003A42C8">
      <w:pPr>
        <w:numPr>
          <w:ilvl w:val="0"/>
          <w:numId w:val="2"/>
        </w:numPr>
        <w:spacing w:after="0" w:line="240" w:lineRule="auto"/>
        <w:jc w:val="both"/>
        <w:rPr>
          <w:rFonts w:eastAsia="Times New Roman" w:cstheme="minorHAnsi"/>
          <w:lang w:eastAsia="it-IT"/>
        </w:rPr>
      </w:pPr>
      <w:r w:rsidRPr="0005254F">
        <w:rPr>
          <w:rFonts w:eastAsia="Times New Roman" w:cstheme="minorHAnsi"/>
          <w:lang w:eastAsia="it-IT"/>
        </w:rPr>
        <w:t>promozione di sinergie tra gli associati;</w:t>
      </w:r>
    </w:p>
    <w:p w14:paraId="5C4F9C80" w14:textId="77777777" w:rsidR="00BE1B87" w:rsidRPr="0005254F" w:rsidRDefault="00BE1B87" w:rsidP="003A42C8">
      <w:pPr>
        <w:numPr>
          <w:ilvl w:val="0"/>
          <w:numId w:val="2"/>
        </w:numPr>
        <w:spacing w:after="0" w:line="240" w:lineRule="auto"/>
        <w:jc w:val="both"/>
        <w:rPr>
          <w:rFonts w:eastAsia="Times New Roman" w:cstheme="minorHAnsi"/>
          <w:lang w:eastAsia="it-IT"/>
        </w:rPr>
      </w:pPr>
      <w:r w:rsidRPr="0005254F">
        <w:rPr>
          <w:rFonts w:eastAsia="Times New Roman" w:cstheme="minorHAnsi"/>
          <w:lang w:eastAsia="it-IT"/>
        </w:rPr>
        <w:t>discussione e presa di posizione unitaria riguardo i modelli di sviluppo relativi a specifiche tematiche;</w:t>
      </w:r>
    </w:p>
    <w:p w14:paraId="7533D455" w14:textId="77777777" w:rsidR="00BE1B87" w:rsidRPr="0005254F" w:rsidRDefault="00BE1B87" w:rsidP="003A42C8">
      <w:pPr>
        <w:numPr>
          <w:ilvl w:val="0"/>
          <w:numId w:val="2"/>
        </w:numPr>
        <w:spacing w:after="0" w:line="240" w:lineRule="auto"/>
        <w:jc w:val="both"/>
        <w:rPr>
          <w:rFonts w:eastAsia="Times New Roman" w:cstheme="minorHAnsi"/>
          <w:lang w:eastAsia="it-IT"/>
        </w:rPr>
      </w:pPr>
      <w:r w:rsidRPr="0005254F">
        <w:rPr>
          <w:rFonts w:eastAsia="Times New Roman" w:cstheme="minorHAnsi"/>
          <w:lang w:eastAsia="it-IT"/>
        </w:rPr>
        <w:t>divulgazione delle tematiche della chimica verde presso scuole, associazioni industriali, agricoltori, consumatori, amministrazioni pubbliche, fiere di settore.</w:t>
      </w:r>
    </w:p>
    <w:p w14:paraId="6065A80E" w14:textId="77777777" w:rsidR="00BE1B87" w:rsidRPr="0005254F" w:rsidRDefault="00BE1B87" w:rsidP="003A42C8">
      <w:pPr>
        <w:numPr>
          <w:ilvl w:val="0"/>
          <w:numId w:val="2"/>
        </w:numPr>
        <w:spacing w:after="0" w:line="240" w:lineRule="auto"/>
        <w:jc w:val="both"/>
        <w:rPr>
          <w:rFonts w:eastAsia="Times New Roman" w:cstheme="minorHAnsi"/>
          <w:lang w:eastAsia="it-IT"/>
        </w:rPr>
      </w:pPr>
      <w:r w:rsidRPr="0005254F">
        <w:rPr>
          <w:rFonts w:eastAsia="Times New Roman" w:cstheme="minorHAnsi"/>
          <w:lang w:eastAsia="it-IT"/>
        </w:rPr>
        <w:t>Studi di settore</w:t>
      </w:r>
    </w:p>
    <w:p w14:paraId="36ECFF92" w14:textId="77777777" w:rsidR="00BE1B87" w:rsidRPr="0005254F" w:rsidRDefault="00BE1B87" w:rsidP="003A42C8">
      <w:pPr>
        <w:spacing w:after="0" w:line="240" w:lineRule="auto"/>
        <w:jc w:val="both"/>
        <w:outlineLvl w:val="3"/>
        <w:rPr>
          <w:rFonts w:eastAsia="Times New Roman" w:cstheme="minorHAnsi"/>
          <w:b/>
          <w:bCs/>
          <w:lang w:eastAsia="it-IT"/>
        </w:rPr>
      </w:pPr>
      <w:r w:rsidRPr="0005254F">
        <w:rPr>
          <w:rFonts w:eastAsia="Times New Roman" w:cstheme="minorHAnsi"/>
          <w:b/>
          <w:bCs/>
          <w:lang w:eastAsia="it-IT"/>
        </w:rPr>
        <w:t>I soci fondatori</w:t>
      </w:r>
    </w:p>
    <w:p w14:paraId="3D155FC0" w14:textId="77777777" w:rsidR="00BE1B87" w:rsidRPr="0005254F" w:rsidRDefault="00BE1B87" w:rsidP="003A42C8">
      <w:pPr>
        <w:spacing w:after="0" w:line="240" w:lineRule="auto"/>
        <w:jc w:val="both"/>
        <w:rPr>
          <w:rFonts w:eastAsia="Times New Roman" w:cstheme="minorHAnsi"/>
          <w:lang w:eastAsia="it-IT"/>
        </w:rPr>
      </w:pPr>
      <w:r w:rsidRPr="0005254F">
        <w:rPr>
          <w:rFonts w:eastAsia="Times New Roman" w:cstheme="minorHAnsi"/>
          <w:lang w:eastAsia="it-IT"/>
        </w:rPr>
        <w:t>Per Legambiente ONLUS, Roberto Della Seta, Presidente</w:t>
      </w:r>
      <w:r w:rsidR="003A42C8" w:rsidRPr="0005254F">
        <w:rPr>
          <w:rFonts w:eastAsia="Times New Roman" w:cstheme="minorHAnsi"/>
          <w:lang w:eastAsia="it-IT"/>
        </w:rPr>
        <w:t xml:space="preserve">; </w:t>
      </w:r>
      <w:r w:rsidRPr="0005254F">
        <w:rPr>
          <w:rFonts w:eastAsia="Times New Roman" w:cstheme="minorHAnsi"/>
          <w:lang w:eastAsia="it-IT"/>
        </w:rPr>
        <w:t>Luca Lazzeri – CRA-CIN Bologna</w:t>
      </w:r>
      <w:r w:rsidR="003A42C8" w:rsidRPr="0005254F">
        <w:rPr>
          <w:rFonts w:eastAsia="Times New Roman" w:cstheme="minorHAnsi"/>
          <w:lang w:eastAsia="it-IT"/>
        </w:rPr>
        <w:t xml:space="preserve">; </w:t>
      </w:r>
      <w:r w:rsidRPr="0005254F">
        <w:rPr>
          <w:rFonts w:eastAsia="Times New Roman" w:cstheme="minorHAnsi"/>
          <w:lang w:eastAsia="it-IT"/>
        </w:rPr>
        <w:t>Giuseppe Giorgio Croce – Legambiente</w:t>
      </w:r>
      <w:r w:rsidR="003A42C8" w:rsidRPr="0005254F">
        <w:rPr>
          <w:rFonts w:eastAsia="Times New Roman" w:cstheme="minorHAnsi"/>
          <w:lang w:eastAsia="it-IT"/>
        </w:rPr>
        <w:t xml:space="preserve">; </w:t>
      </w:r>
      <w:r w:rsidRPr="0005254F">
        <w:rPr>
          <w:rFonts w:eastAsia="Times New Roman" w:cstheme="minorHAnsi"/>
          <w:lang w:eastAsia="it-IT"/>
        </w:rPr>
        <w:t>Lorenzo D’Avino – CRA-CIN Bologna</w:t>
      </w:r>
      <w:r w:rsidR="003A42C8" w:rsidRPr="0005254F">
        <w:rPr>
          <w:rFonts w:eastAsia="Times New Roman" w:cstheme="minorHAnsi"/>
          <w:lang w:eastAsia="it-IT"/>
        </w:rPr>
        <w:t xml:space="preserve">; </w:t>
      </w:r>
      <w:r w:rsidRPr="0005254F">
        <w:rPr>
          <w:rFonts w:eastAsia="Times New Roman" w:cstheme="minorHAnsi"/>
          <w:lang w:eastAsia="it-IT"/>
        </w:rPr>
        <w:t>Marco Mazzoncini – Università di Pisa</w:t>
      </w:r>
      <w:r w:rsidR="003A42C8" w:rsidRPr="0005254F">
        <w:rPr>
          <w:rFonts w:eastAsia="Times New Roman" w:cstheme="minorHAnsi"/>
          <w:lang w:eastAsia="it-IT"/>
        </w:rPr>
        <w:t xml:space="preserve">; </w:t>
      </w:r>
      <w:r w:rsidRPr="0005254F">
        <w:rPr>
          <w:rFonts w:eastAsia="Times New Roman" w:cstheme="minorHAnsi"/>
          <w:lang w:eastAsia="it-IT"/>
        </w:rPr>
        <w:t>Enrico Bonari – SSSUP Pisa</w:t>
      </w:r>
      <w:r w:rsidR="003A42C8" w:rsidRPr="0005254F">
        <w:rPr>
          <w:rFonts w:eastAsia="Times New Roman" w:cstheme="minorHAnsi"/>
          <w:lang w:eastAsia="it-IT"/>
        </w:rPr>
        <w:t xml:space="preserve">; </w:t>
      </w:r>
      <w:r w:rsidRPr="0005254F">
        <w:rPr>
          <w:rFonts w:eastAsia="Times New Roman" w:cstheme="minorHAnsi"/>
          <w:lang w:eastAsia="it-IT"/>
        </w:rPr>
        <w:t>Luciana Gabriell</w:t>
      </w:r>
      <w:r w:rsidR="003A42C8" w:rsidRPr="0005254F">
        <w:rPr>
          <w:rFonts w:eastAsia="Times New Roman" w:cstheme="minorHAnsi"/>
          <w:lang w:eastAsia="it-IT"/>
        </w:rPr>
        <w:t xml:space="preserve">a Angelini – Università di Pisa; </w:t>
      </w:r>
      <w:r w:rsidRPr="0005254F">
        <w:rPr>
          <w:rFonts w:eastAsia="Times New Roman" w:cstheme="minorHAnsi"/>
          <w:lang w:eastAsia="it-IT"/>
        </w:rPr>
        <w:t>Gianpaolo Grassi – CRA-CIN Rovigo</w:t>
      </w:r>
      <w:r w:rsidR="003A42C8" w:rsidRPr="0005254F">
        <w:rPr>
          <w:rFonts w:eastAsia="Times New Roman" w:cstheme="minorHAnsi"/>
          <w:lang w:eastAsia="it-IT"/>
        </w:rPr>
        <w:t xml:space="preserve">; </w:t>
      </w:r>
      <w:r w:rsidRPr="0005254F">
        <w:rPr>
          <w:rFonts w:eastAsia="Times New Roman" w:cstheme="minorHAnsi"/>
          <w:lang w:eastAsia="it-IT"/>
        </w:rPr>
        <w:t>Gianluca Brunori – Università di Pisa</w:t>
      </w:r>
    </w:p>
    <w:p w14:paraId="78072F2D" w14:textId="77777777" w:rsidR="00BE1B87" w:rsidRPr="0005254F" w:rsidRDefault="00BE1B87" w:rsidP="003A42C8">
      <w:pPr>
        <w:spacing w:after="0" w:line="240" w:lineRule="auto"/>
        <w:jc w:val="both"/>
      </w:pPr>
      <w:r w:rsidRPr="0005254F">
        <w:rPr>
          <w:rFonts w:eastAsia="Times New Roman" w:cstheme="minorHAnsi"/>
          <w:lang w:eastAsia="it-IT"/>
        </w:rPr>
        <w:t>Chimica Verde raggruppa associazioni a carattere nazionale come Legambiente, che è tra i soci fondatori, diverse attività imprenditoriali che operano nel campo della chimica verde a livello nazionale o internazionale, alcuni ricercatori specializzati nelle filiere prese in esame dall’associazione.</w:t>
      </w:r>
      <w:r w:rsidRPr="0005254F">
        <w:rPr>
          <w:rFonts w:cstheme="minorHAnsi"/>
        </w:rPr>
        <w:t xml:space="preserve"> </w:t>
      </w:r>
      <w:hyperlink r:id="rId8" w:history="1">
        <w:r w:rsidRPr="0005254F">
          <w:rPr>
            <w:rStyle w:val="Collegamentoipertestuale"/>
            <w:rFonts w:eastAsia="Times New Roman" w:cstheme="minorHAnsi"/>
            <w:lang w:eastAsia="it-IT"/>
          </w:rPr>
          <w:t>https://www.chimicaverde.it/chi-siamo/</w:t>
        </w:r>
      </w:hyperlink>
    </w:p>
    <w:p w14:paraId="4B708322" w14:textId="77777777" w:rsidR="0005254F" w:rsidRPr="0005254F" w:rsidRDefault="0005254F" w:rsidP="003A42C8">
      <w:pPr>
        <w:spacing w:after="0" w:line="240" w:lineRule="auto"/>
        <w:jc w:val="both"/>
      </w:pPr>
    </w:p>
    <w:p w14:paraId="38F45B30" w14:textId="77777777" w:rsidR="0005254F" w:rsidRPr="0005254F" w:rsidRDefault="0005254F" w:rsidP="0005254F">
      <w:pPr>
        <w:spacing w:after="0" w:line="240" w:lineRule="auto"/>
        <w:jc w:val="both"/>
        <w:rPr>
          <w:rFonts w:eastAsia="Times New Roman" w:cstheme="minorHAnsi"/>
          <w:lang w:eastAsia="it-IT"/>
        </w:rPr>
      </w:pPr>
      <w:r w:rsidRPr="0005254F">
        <w:rPr>
          <w:rFonts w:eastAsia="Times New Roman" w:cstheme="minorHAnsi"/>
          <w:b/>
          <w:bCs/>
          <w:i/>
          <w:iCs/>
          <w:lang w:eastAsia="it-IT"/>
        </w:rPr>
        <w:t>Prof. Luigi Campanella.</w:t>
      </w:r>
      <w:r w:rsidRPr="0005254F">
        <w:rPr>
          <w:rFonts w:eastAsia="Times New Roman" w:cstheme="minorHAnsi"/>
          <w:i/>
          <w:iCs/>
          <w:lang w:eastAsia="it-IT"/>
        </w:rPr>
        <w:t xml:space="preserve"> Si laurea in Chimica e ottiene l’Abilitazione alla professione di Chimico nel 1961. Professore Incaricato Stabilizzato, prima di “Esercitazioni di Chimica Industriale II”, poi di “Esercitazioni di Analisi Chimica Applicata, presso l’Università degli Studi di Roma “La Sapienza” dal 1967 al 1980. Professore Ordinario di “Chimica Analitica” dall’</w:t>
      </w:r>
      <w:proofErr w:type="spellStart"/>
      <w:r w:rsidRPr="0005254F">
        <w:rPr>
          <w:rFonts w:eastAsia="Times New Roman" w:cstheme="minorHAnsi"/>
          <w:i/>
          <w:iCs/>
          <w:lang w:eastAsia="it-IT"/>
        </w:rPr>
        <w:t>a.a</w:t>
      </w:r>
      <w:proofErr w:type="spellEnd"/>
      <w:r w:rsidRPr="0005254F">
        <w:rPr>
          <w:rFonts w:eastAsia="Times New Roman" w:cstheme="minorHAnsi"/>
          <w:i/>
          <w:iCs/>
          <w:lang w:eastAsia="it-IT"/>
        </w:rPr>
        <w:t>. 1980/81 all’</w:t>
      </w:r>
      <w:proofErr w:type="spellStart"/>
      <w:r w:rsidRPr="0005254F">
        <w:rPr>
          <w:rFonts w:eastAsia="Times New Roman" w:cstheme="minorHAnsi"/>
          <w:i/>
          <w:iCs/>
          <w:lang w:eastAsia="it-IT"/>
        </w:rPr>
        <w:t>a.a</w:t>
      </w:r>
      <w:proofErr w:type="spellEnd"/>
      <w:r w:rsidRPr="0005254F">
        <w:rPr>
          <w:rFonts w:eastAsia="Times New Roman" w:cstheme="minorHAnsi"/>
          <w:i/>
          <w:iCs/>
          <w:lang w:eastAsia="it-IT"/>
        </w:rPr>
        <w:t>. 2002-2003 e di Chimica dell’Ambiente e dei Beni Culturali successivamente a tale data. Promotore e Direttore del Centro Interdipartimentale per le Scienze Applicate alla protezione dell’Ambiente e dei Beni Culturali. Attuale Coordinatore del Polo Museale de La Sapienza. È autore di oltre 500 lavori nei settori della Chimica Analitica, dell’Elettrochimica, della Chimica Ambientale, delle Biotecnologie Analitiche, della Chimica dei Beni Culturali.</w:t>
      </w:r>
    </w:p>
    <w:p w14:paraId="24D4DFFD" w14:textId="5005B705" w:rsidR="0005254F" w:rsidRPr="0005254F" w:rsidRDefault="0005254F" w:rsidP="003A42C8">
      <w:pPr>
        <w:spacing w:after="0" w:line="240" w:lineRule="auto"/>
        <w:jc w:val="both"/>
        <w:rPr>
          <w:rFonts w:eastAsia="Times New Roman" w:cstheme="minorHAnsi"/>
          <w:lang w:eastAsia="it-IT"/>
        </w:rPr>
      </w:pPr>
      <w:hyperlink r:id="rId9" w:history="1">
        <w:r w:rsidRPr="0005254F">
          <w:rPr>
            <w:rStyle w:val="Collegamentoipertestuale"/>
            <w:rFonts w:eastAsia="Times New Roman" w:cstheme="minorHAnsi"/>
            <w:lang w:eastAsia="it-IT"/>
          </w:rPr>
          <w:t>https://www.chimicaverde.it/circolarita-e-sostenibilita/</w:t>
        </w:r>
      </w:hyperlink>
      <w:r w:rsidRPr="0005254F">
        <w:rPr>
          <w:rFonts w:eastAsia="Times New Roman" w:cstheme="minorHAnsi"/>
          <w:lang w:eastAsia="it-IT"/>
        </w:rPr>
        <w:t xml:space="preserve">. </w:t>
      </w:r>
    </w:p>
    <w:sectPr w:rsidR="0005254F" w:rsidRPr="0005254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26CD5"/>
    <w:multiLevelType w:val="multilevel"/>
    <w:tmpl w:val="D1540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732C77"/>
    <w:multiLevelType w:val="multilevel"/>
    <w:tmpl w:val="FA624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405825">
    <w:abstractNumId w:val="0"/>
  </w:num>
  <w:num w:numId="2" w16cid:durableId="16248492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3CAB"/>
    <w:rsid w:val="0005254F"/>
    <w:rsid w:val="000F288E"/>
    <w:rsid w:val="00213CAB"/>
    <w:rsid w:val="00277E93"/>
    <w:rsid w:val="003A42C8"/>
    <w:rsid w:val="007B0940"/>
    <w:rsid w:val="008308D0"/>
    <w:rsid w:val="008F081D"/>
    <w:rsid w:val="00BE1B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FCC8A"/>
  <w15:docId w15:val="{624DA053-F73B-4A8D-AD9E-5D55B1966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4">
    <w:name w:val="heading 4"/>
    <w:basedOn w:val="Normale"/>
    <w:link w:val="Titolo4Carattere"/>
    <w:uiPriority w:val="9"/>
    <w:qFormat/>
    <w:rsid w:val="00BE1B87"/>
    <w:pPr>
      <w:spacing w:before="100" w:beforeAutospacing="1" w:after="100" w:afterAutospacing="1" w:line="240" w:lineRule="auto"/>
      <w:outlineLvl w:val="3"/>
    </w:pPr>
    <w:rPr>
      <w:rFonts w:ascii="Times New Roman" w:eastAsia="Times New Roman" w:hAnsi="Times New Roman" w:cs="Times New Roman"/>
      <w:b/>
      <w:bCs/>
      <w:sz w:val="24"/>
      <w:szCs w:val="24"/>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BE1B87"/>
    <w:rPr>
      <w:color w:val="0000FF"/>
      <w:u w:val="single"/>
    </w:rPr>
  </w:style>
  <w:style w:type="character" w:styleId="Enfasigrassetto">
    <w:name w:val="Strong"/>
    <w:basedOn w:val="Carpredefinitoparagrafo"/>
    <w:uiPriority w:val="22"/>
    <w:qFormat/>
    <w:rsid w:val="00BE1B87"/>
    <w:rPr>
      <w:b w:val="0"/>
      <w:bCs w:val="0"/>
    </w:rPr>
  </w:style>
  <w:style w:type="character" w:customStyle="1" w:styleId="Titolo4Carattere">
    <w:name w:val="Titolo 4 Carattere"/>
    <w:basedOn w:val="Carpredefinitoparagrafo"/>
    <w:link w:val="Titolo4"/>
    <w:uiPriority w:val="9"/>
    <w:rsid w:val="00BE1B87"/>
    <w:rPr>
      <w:rFonts w:ascii="Times New Roman" w:eastAsia="Times New Roman" w:hAnsi="Times New Roman" w:cs="Times New Roman"/>
      <w:b/>
      <w:bCs/>
      <w:sz w:val="24"/>
      <w:szCs w:val="24"/>
      <w:lang w:eastAsia="it-IT"/>
    </w:rPr>
  </w:style>
  <w:style w:type="paragraph" w:styleId="NormaleWeb">
    <w:name w:val="Normal (Web)"/>
    <w:basedOn w:val="Normale"/>
    <w:uiPriority w:val="99"/>
    <w:semiHidden/>
    <w:unhideWhenUsed/>
    <w:rsid w:val="00BE1B8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BE1B87"/>
    <w:rPr>
      <w:i/>
      <w:iCs/>
    </w:rPr>
  </w:style>
  <w:style w:type="paragraph" w:styleId="Testofumetto">
    <w:name w:val="Balloon Text"/>
    <w:basedOn w:val="Normale"/>
    <w:link w:val="TestofumettoCarattere"/>
    <w:uiPriority w:val="99"/>
    <w:semiHidden/>
    <w:unhideWhenUsed/>
    <w:rsid w:val="00BE1B8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E1B87"/>
    <w:rPr>
      <w:rFonts w:ascii="Tahoma" w:hAnsi="Tahoma" w:cs="Tahoma"/>
      <w:sz w:val="16"/>
      <w:szCs w:val="16"/>
    </w:rPr>
  </w:style>
  <w:style w:type="character" w:styleId="Menzionenonrisolta">
    <w:name w:val="Unresolved Mention"/>
    <w:basedOn w:val="Carpredefinitoparagrafo"/>
    <w:uiPriority w:val="99"/>
    <w:semiHidden/>
    <w:unhideWhenUsed/>
    <w:rsid w:val="000525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65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imicaverde.it/chi-siamo/" TargetMode="External"/><Relationship Id="rId3" Type="http://schemas.openxmlformats.org/officeDocument/2006/relationships/settings" Target="settings.xml"/><Relationship Id="rId7" Type="http://schemas.openxmlformats.org/officeDocument/2006/relationships/hyperlink" Target="https://www.aracneeditrice.eu/it/rivista/chimica-verd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himicaverde.it/circolarita-e-sostenibilita/"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775</Words>
  <Characters>4418</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Giulio e Rosa Palanga</cp:lastModifiedBy>
  <cp:revision>6</cp:revision>
  <dcterms:created xsi:type="dcterms:W3CDTF">2022-06-17T05:35:00Z</dcterms:created>
  <dcterms:modified xsi:type="dcterms:W3CDTF">2025-12-04T11:26:00Z</dcterms:modified>
</cp:coreProperties>
</file>