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3A29" w14:textId="3F93C0F6" w:rsidR="00FC79B9" w:rsidRPr="009D3A09" w:rsidRDefault="00FC79B9" w:rsidP="00FC79B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XY95</w:t>
      </w:r>
      <w:r>
        <w:rPr>
          <w:rFonts w:cstheme="minorHAnsi"/>
          <w:b/>
          <w:color w:val="C00000"/>
          <w:sz w:val="44"/>
          <w:szCs w:val="44"/>
        </w:rPr>
        <w:t>1</w:t>
      </w:r>
      <w:r>
        <w:rPr>
          <w:rFonts w:cstheme="minorHAnsi"/>
          <w:b/>
          <w:color w:val="C00000"/>
          <w:sz w:val="44"/>
          <w:szCs w:val="44"/>
        </w:rPr>
        <w:tab/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17 ottobre 2025</w:t>
      </w:r>
    </w:p>
    <w:bookmarkEnd w:id="0"/>
    <w:p w14:paraId="5CA87E59" w14:textId="77777777" w:rsidR="00FC79B9" w:rsidRDefault="00FC79B9" w:rsidP="00B976C5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0117C563" wp14:editId="01A0C8AB">
            <wp:extent cx="3812400" cy="5400000"/>
            <wp:effectExtent l="0" t="0" r="0" b="0"/>
            <wp:docPr id="1239902608" name="Immagine 1" descr="Immagine che contiene testo, Carattere, schermata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02608" name="Immagine 1" descr="Immagine che contiene testo, Carattere, schermata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D797" w14:textId="103F04D1" w:rsidR="00FC79B9" w:rsidRDefault="00FC79B9" w:rsidP="00FC79B9">
      <w:pPr>
        <w:spacing w:after="0" w:line="240" w:lineRule="auto"/>
        <w:jc w:val="both"/>
      </w:pPr>
      <w:r w:rsidRPr="009D3A09">
        <w:rPr>
          <w:rFonts w:cstheme="minorHAnsi"/>
          <w:b/>
          <w:color w:val="C00000"/>
          <w:sz w:val="44"/>
          <w:szCs w:val="44"/>
        </w:rPr>
        <w:t>Descrizione bibliografica</w:t>
      </w:r>
      <w:r w:rsidRPr="00F713EC">
        <w:t xml:space="preserve"> </w:t>
      </w:r>
    </w:p>
    <w:p w14:paraId="12121B35" w14:textId="04A1E57E" w:rsidR="0031062F" w:rsidRPr="00B976C5" w:rsidRDefault="00FC79B9" w:rsidP="00FC79B9">
      <w:pPr>
        <w:spacing w:after="0" w:line="240" w:lineRule="auto"/>
        <w:jc w:val="both"/>
        <w:rPr>
          <w:sz w:val="32"/>
          <w:szCs w:val="32"/>
        </w:rPr>
      </w:pPr>
      <w:r w:rsidRPr="00B976C5">
        <w:rPr>
          <w:sz w:val="32"/>
          <w:szCs w:val="32"/>
        </w:rPr>
        <w:t xml:space="preserve">Le </w:t>
      </w:r>
      <w:r w:rsidRPr="00B976C5">
        <w:rPr>
          <w:sz w:val="32"/>
          <w:szCs w:val="32"/>
        </w:rPr>
        <w:t>*</w:t>
      </w:r>
      <w:r w:rsidRPr="00B976C5">
        <w:rPr>
          <w:b/>
          <w:bCs/>
          <w:sz w:val="32"/>
          <w:szCs w:val="32"/>
        </w:rPr>
        <w:t xml:space="preserve">tavole della </w:t>
      </w:r>
      <w:proofErr w:type="gramStart"/>
      <w:r w:rsidRPr="00B976C5">
        <w:rPr>
          <w:b/>
          <w:bCs/>
          <w:sz w:val="32"/>
          <w:szCs w:val="32"/>
        </w:rPr>
        <w:t>legge</w:t>
      </w:r>
      <w:r w:rsidRPr="00B976C5">
        <w:rPr>
          <w:sz w:val="32"/>
          <w:szCs w:val="32"/>
        </w:rPr>
        <w:t xml:space="preserve"> :</w:t>
      </w:r>
      <w:proofErr w:type="gramEnd"/>
      <w:r w:rsidRPr="00B976C5">
        <w:rPr>
          <w:sz w:val="32"/>
          <w:szCs w:val="32"/>
        </w:rPr>
        <w:t xml:space="preserve"> la guida ai ristoranti più amati dagli avvocati d'affari. - 2025-</w:t>
      </w:r>
      <w:r w:rsidRPr="00B976C5">
        <w:rPr>
          <w:sz w:val="32"/>
          <w:szCs w:val="32"/>
        </w:rPr>
        <w:t xml:space="preserve">  </w:t>
      </w:r>
      <w:proofErr w:type="gramStart"/>
      <w:r w:rsidRPr="00B976C5">
        <w:rPr>
          <w:sz w:val="32"/>
          <w:szCs w:val="32"/>
        </w:rPr>
        <w:t xml:space="preserve">  </w:t>
      </w:r>
      <w:r w:rsidRPr="00B976C5">
        <w:rPr>
          <w:sz w:val="32"/>
          <w:szCs w:val="32"/>
        </w:rPr>
        <w:t>.</w:t>
      </w:r>
      <w:proofErr w:type="gramEnd"/>
      <w:r w:rsidRPr="00B976C5">
        <w:rPr>
          <w:sz w:val="32"/>
          <w:szCs w:val="32"/>
        </w:rPr>
        <w:t xml:space="preserve"> - </w:t>
      </w:r>
      <w:proofErr w:type="gramStart"/>
      <w:r w:rsidRPr="00B976C5">
        <w:rPr>
          <w:sz w:val="32"/>
          <w:szCs w:val="32"/>
        </w:rPr>
        <w:t>Milano :</w:t>
      </w:r>
      <w:proofErr w:type="gramEnd"/>
      <w:r w:rsidRPr="00B976C5">
        <w:rPr>
          <w:sz w:val="32"/>
          <w:szCs w:val="32"/>
        </w:rPr>
        <w:t xml:space="preserve"> LC Publishing Group, [</w:t>
      </w:r>
      <w:proofErr w:type="gramStart"/>
      <w:r w:rsidRPr="00B976C5">
        <w:rPr>
          <w:sz w:val="32"/>
          <w:szCs w:val="32"/>
        </w:rPr>
        <w:t>2025]-</w:t>
      </w:r>
      <w:proofErr w:type="gramEnd"/>
      <w:r w:rsidRPr="00B976C5">
        <w:rPr>
          <w:sz w:val="32"/>
          <w:szCs w:val="32"/>
        </w:rPr>
        <w:t xml:space="preserve">  </w:t>
      </w:r>
      <w:proofErr w:type="gramStart"/>
      <w:r w:rsidRPr="00B976C5">
        <w:rPr>
          <w:sz w:val="32"/>
          <w:szCs w:val="32"/>
        </w:rPr>
        <w:t xml:space="preserve">  </w:t>
      </w:r>
      <w:r w:rsidRPr="00B976C5">
        <w:rPr>
          <w:sz w:val="32"/>
          <w:szCs w:val="32"/>
        </w:rPr>
        <w:t>.</w:t>
      </w:r>
      <w:proofErr w:type="gramEnd"/>
      <w:r w:rsidRPr="00B976C5">
        <w:rPr>
          <w:sz w:val="32"/>
          <w:szCs w:val="32"/>
        </w:rPr>
        <w:t xml:space="preserve"> - </w:t>
      </w:r>
      <w:proofErr w:type="gramStart"/>
      <w:r w:rsidRPr="00B976C5">
        <w:rPr>
          <w:sz w:val="32"/>
          <w:szCs w:val="32"/>
        </w:rPr>
        <w:t>volumi ;</w:t>
      </w:r>
      <w:proofErr w:type="gramEnd"/>
      <w:r w:rsidRPr="00B976C5">
        <w:rPr>
          <w:sz w:val="32"/>
          <w:szCs w:val="32"/>
        </w:rPr>
        <w:t xml:space="preserve"> 19 cm. </w:t>
      </w:r>
      <w:r w:rsidRPr="00B976C5">
        <w:rPr>
          <w:sz w:val="32"/>
          <w:szCs w:val="32"/>
        </w:rPr>
        <w:t>((</w:t>
      </w:r>
      <w:r w:rsidRPr="00B976C5">
        <w:rPr>
          <w:sz w:val="32"/>
          <w:szCs w:val="32"/>
        </w:rPr>
        <w:t>Annuale. - A cura di Letizia Ceriani e Nicola Di Molfetta</w:t>
      </w:r>
      <w:r w:rsidRPr="00B976C5">
        <w:rPr>
          <w:sz w:val="32"/>
          <w:szCs w:val="32"/>
        </w:rPr>
        <w:t xml:space="preserve">. - </w:t>
      </w:r>
      <w:r w:rsidRPr="00B976C5">
        <w:rPr>
          <w:sz w:val="32"/>
          <w:szCs w:val="32"/>
        </w:rPr>
        <w:t>CFI1160445</w:t>
      </w:r>
    </w:p>
    <w:p w14:paraId="374D11A9" w14:textId="763B48B9" w:rsidR="00FC79B9" w:rsidRPr="00B976C5" w:rsidRDefault="00FC79B9" w:rsidP="00FC79B9">
      <w:pPr>
        <w:spacing w:after="0" w:line="240" w:lineRule="auto"/>
        <w:jc w:val="both"/>
        <w:rPr>
          <w:sz w:val="32"/>
          <w:szCs w:val="32"/>
        </w:rPr>
      </w:pPr>
      <w:r w:rsidRPr="00B976C5">
        <w:rPr>
          <w:sz w:val="32"/>
          <w:szCs w:val="32"/>
        </w:rPr>
        <w:t xml:space="preserve">Soggetti: Ristoranti </w:t>
      </w:r>
      <w:r w:rsidR="00B976C5" w:rsidRPr="00B976C5">
        <w:rPr>
          <w:sz w:val="32"/>
          <w:szCs w:val="32"/>
        </w:rPr>
        <w:t>– Guide – Periodici; Avvocati d’affari - Periodici</w:t>
      </w:r>
    </w:p>
    <w:p w14:paraId="1711B9A3" w14:textId="77777777" w:rsidR="00FC79B9" w:rsidRDefault="00FC79B9" w:rsidP="00FC79B9">
      <w:pPr>
        <w:spacing w:after="0" w:line="240" w:lineRule="auto"/>
        <w:jc w:val="both"/>
      </w:pPr>
    </w:p>
    <w:p w14:paraId="2B6408DF" w14:textId="77777777" w:rsidR="00FC79B9" w:rsidRPr="009D3A09" w:rsidRDefault="00FC79B9" w:rsidP="00FC79B9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1" w:name="_Hlk132090102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4FB2E946" w14:textId="3912A040" w:rsidR="00FC79B9" w:rsidRPr="00FC79B9" w:rsidRDefault="00FC79B9" w:rsidP="00B976C5">
      <w:pPr>
        <w:spacing w:after="0" w:line="240" w:lineRule="auto"/>
        <w:jc w:val="both"/>
        <w:rPr>
          <w:b/>
          <w:bCs/>
          <w:sz w:val="23"/>
          <w:szCs w:val="23"/>
        </w:rPr>
      </w:pPr>
      <w:r w:rsidRPr="00FC79B9">
        <w:rPr>
          <w:b/>
          <w:bCs/>
          <w:sz w:val="23"/>
          <w:szCs w:val="23"/>
        </w:rPr>
        <w:t>La legge è uguale per tutti, il cibo no. Esce la prima guida ai ristoranti degli avvocati</w:t>
      </w:r>
      <w:r w:rsidR="00B976C5" w:rsidRPr="00B976C5">
        <w:rPr>
          <w:b/>
          <w:bCs/>
          <w:sz w:val="23"/>
          <w:szCs w:val="23"/>
        </w:rPr>
        <w:t xml:space="preserve">. </w:t>
      </w:r>
      <w:r w:rsidRPr="00FC79B9">
        <w:rPr>
          <w:b/>
          <w:bCs/>
          <w:sz w:val="23"/>
          <w:szCs w:val="23"/>
        </w:rPr>
        <w:t>Un volume edito da LC Publishing Group racconta i locali dove i professionisti fanno i loro pranzi di lavoro. Perché mangiare bene aiuta a chiudere affari milionari</w:t>
      </w:r>
      <w:r w:rsidR="00B976C5" w:rsidRPr="00B976C5">
        <w:rPr>
          <w:b/>
          <w:bCs/>
          <w:sz w:val="23"/>
          <w:szCs w:val="23"/>
        </w:rPr>
        <w:t>.</w:t>
      </w:r>
      <w:hyperlink r:id="rId6" w:tgtFrame="_blank" w:history="1">
        <w:r w:rsidR="00B976C5" w:rsidRPr="00B976C5">
          <w:rPr>
            <w:rStyle w:val="Collegamentoipertestuale"/>
            <w:b/>
            <w:bCs/>
            <w:color w:val="auto"/>
            <w:sz w:val="23"/>
            <w:szCs w:val="23"/>
            <w:u w:val="none"/>
          </w:rPr>
          <w:t xml:space="preserve"> </w:t>
        </w:r>
        <w:r w:rsidRPr="00FC79B9">
          <w:rPr>
            <w:rStyle w:val="Collegamentoipertestuale"/>
            <w:sz w:val="23"/>
            <w:szCs w:val="23"/>
          </w:rPr>
          <w:t xml:space="preserve">di </w:t>
        </w:r>
        <w:r w:rsidRPr="00FC79B9">
          <w:rPr>
            <w:rStyle w:val="Collegamentoipertestuale"/>
            <w:b/>
            <w:bCs/>
            <w:sz w:val="23"/>
            <w:szCs w:val="23"/>
          </w:rPr>
          <w:t>Andrea Cuomo</w:t>
        </w:r>
        <w:r w:rsidRPr="00FC79B9">
          <w:rPr>
            <w:rStyle w:val="Collegamentoipertestuale"/>
            <w:sz w:val="23"/>
            <w:szCs w:val="23"/>
          </w:rPr>
          <w:t xml:space="preserve"> </w:t>
        </w:r>
      </w:hyperlink>
      <w:r w:rsidRPr="00FC79B9">
        <w:rPr>
          <w:sz w:val="23"/>
          <w:szCs w:val="23"/>
        </w:rPr>
        <w:t xml:space="preserve">28 </w:t>
      </w:r>
      <w:proofErr w:type="gramStart"/>
      <w:r w:rsidRPr="00FC79B9">
        <w:rPr>
          <w:sz w:val="23"/>
          <w:szCs w:val="23"/>
        </w:rPr>
        <w:t>Marzo</w:t>
      </w:r>
      <w:proofErr w:type="gramEnd"/>
      <w:r w:rsidRPr="00FC79B9">
        <w:rPr>
          <w:sz w:val="23"/>
          <w:szCs w:val="23"/>
        </w:rPr>
        <w:t xml:space="preserve">, 2025 </w:t>
      </w:r>
    </w:p>
    <w:p w14:paraId="67831907" w14:textId="587EBDF4" w:rsidR="00FC79B9" w:rsidRPr="00B976C5" w:rsidRDefault="00FC79B9" w:rsidP="00FC79B9">
      <w:pPr>
        <w:spacing w:after="0" w:line="240" w:lineRule="auto"/>
        <w:jc w:val="both"/>
        <w:rPr>
          <w:sz w:val="23"/>
          <w:szCs w:val="23"/>
        </w:rPr>
      </w:pPr>
      <w:r w:rsidRPr="00B976C5">
        <w:rPr>
          <w:sz w:val="23"/>
          <w:szCs w:val="23"/>
        </w:rPr>
        <w:t>La legge è uguale per tutti. Forse. Il cibo certamente no. E gli avvocati lo sanno bene, soprattutto quelli di affari che spesso a tavola chiudono</w:t>
      </w:r>
      <w:r w:rsidRPr="00B976C5">
        <w:rPr>
          <w:b/>
          <w:bCs/>
          <w:sz w:val="23"/>
          <w:szCs w:val="23"/>
        </w:rPr>
        <w:t xml:space="preserve"> contratti milionari</w:t>
      </w:r>
      <w:r w:rsidRPr="00B976C5">
        <w:rPr>
          <w:sz w:val="23"/>
          <w:szCs w:val="23"/>
        </w:rPr>
        <w:t xml:space="preserve"> o discutono di quotazioni in borsa, </w:t>
      </w:r>
      <w:r w:rsidRPr="00B976C5">
        <w:rPr>
          <w:sz w:val="23"/>
          <w:szCs w:val="23"/>
        </w:rPr>
        <w:lastRenderedPageBreak/>
        <w:t xml:space="preserve">brevetti e privatizzazioni. Ora, non è dato sapere se un buon piatto mangiato in un ambiente adatto possa favorire un accordo tra le parti, ma certamente male non fa. Nel dubbio, LC </w:t>
      </w:r>
      <w:proofErr w:type="gramStart"/>
      <w:r w:rsidRPr="00B976C5">
        <w:rPr>
          <w:sz w:val="23"/>
          <w:szCs w:val="23"/>
        </w:rPr>
        <w:t>Publishing  Group</w:t>
      </w:r>
      <w:proofErr w:type="gramEnd"/>
      <w:r w:rsidRPr="00B976C5">
        <w:rPr>
          <w:sz w:val="23"/>
          <w:szCs w:val="23"/>
        </w:rPr>
        <w:t xml:space="preserve"> ha dato alle stampe la prima </w:t>
      </w:r>
      <w:proofErr w:type="gramStart"/>
      <w:r w:rsidRPr="00B976C5">
        <w:rPr>
          <w:sz w:val="23"/>
          <w:szCs w:val="23"/>
        </w:rPr>
        <w:t>edizione  del</w:t>
      </w:r>
      <w:proofErr w:type="gramEnd"/>
      <w:r w:rsidRPr="00B976C5">
        <w:rPr>
          <w:sz w:val="23"/>
          <w:szCs w:val="23"/>
        </w:rPr>
        <w:t xml:space="preserve"> Le Tavole della Legge, la prima guida ai ristoranti più amati dagli avvocati di affari. Il volume, a cura di Letizia Ceriani e Nicola Di Molfetta, direttore responsabile di MAG, il primo magazine dedicato alla business community italiana, è lo spin off adeguatamente implementato della rubrica omonima pubblicata ogni mese sulla rivista. “Sono anni – spiega Di Molfetta nell’introduzione della guida – che raccogliamo indicazioni e suggerimenti dalla comunità legale </w:t>
      </w:r>
      <w:r w:rsidRPr="00B976C5">
        <w:rPr>
          <w:b/>
          <w:bCs/>
          <w:sz w:val="23"/>
          <w:szCs w:val="23"/>
        </w:rPr>
        <w:t>che i ristoranti li frequenta per lavoro</w:t>
      </w:r>
      <w:r w:rsidRPr="00B976C5">
        <w:rPr>
          <w:sz w:val="23"/>
          <w:szCs w:val="23"/>
        </w:rPr>
        <w:t>, oltre che per piacere, e senza altri fini se non quello di gustare un pasto di qualità mentre si discute un contratto, di intervista un futuro socio, si celebra un successo o si pianificano strategie di crescita sul mercato”.</w:t>
      </w:r>
    </w:p>
    <w:p w14:paraId="48AAA8FD" w14:textId="7EE8FE52" w:rsidR="00FC79B9" w:rsidRPr="00FC79B9" w:rsidRDefault="00FC79B9" w:rsidP="00FC79B9">
      <w:pPr>
        <w:spacing w:after="0" w:line="240" w:lineRule="auto"/>
        <w:jc w:val="both"/>
        <w:rPr>
          <w:sz w:val="23"/>
          <w:szCs w:val="23"/>
        </w:rPr>
      </w:pPr>
      <w:r w:rsidRPr="00FC79B9">
        <w:rPr>
          <w:b/>
          <w:bCs/>
          <w:sz w:val="23"/>
          <w:szCs w:val="23"/>
        </w:rPr>
        <w:t>Trattorie e stellati</w:t>
      </w:r>
      <w:r w:rsidR="00B976C5" w:rsidRPr="00B976C5">
        <w:rPr>
          <w:b/>
          <w:bCs/>
          <w:sz w:val="23"/>
          <w:szCs w:val="23"/>
        </w:rPr>
        <w:t xml:space="preserve">. </w:t>
      </w:r>
      <w:r w:rsidRPr="00FC79B9">
        <w:rPr>
          <w:sz w:val="23"/>
          <w:szCs w:val="23"/>
        </w:rPr>
        <w:t xml:space="preserve">La guida è strutturata in modo piuttosto tradizionale, secondo criteri regionali e con un punteggio che va da una a tre bilance, in ordine di gradimento. Le schede sono brevi e sintetiche, gli indirizzi segnalati non sono soltanto quelli che ci si aspetterebbe da una guida destinata a gente in doppio petto e cravatta, ma c’è spazio anche per </w:t>
      </w:r>
      <w:r w:rsidRPr="00FC79B9">
        <w:rPr>
          <w:b/>
          <w:bCs/>
          <w:sz w:val="23"/>
          <w:szCs w:val="23"/>
        </w:rPr>
        <w:t>trattorie sapide</w:t>
      </w:r>
      <w:r w:rsidRPr="00FC79B9">
        <w:rPr>
          <w:sz w:val="23"/>
          <w:szCs w:val="23"/>
        </w:rPr>
        <w:t xml:space="preserve"> (magari con un tovagliolo a evitare di schizzare la cravatta di Marinella) come Roscioli e dar Cordaro a Roma e Trippa a Milano, per </w:t>
      </w:r>
      <w:r w:rsidRPr="00FC79B9">
        <w:rPr>
          <w:b/>
          <w:bCs/>
          <w:sz w:val="23"/>
          <w:szCs w:val="23"/>
        </w:rPr>
        <w:t>etnici diversamente chic</w:t>
      </w:r>
      <w:r w:rsidRPr="00FC79B9">
        <w:rPr>
          <w:sz w:val="23"/>
          <w:szCs w:val="23"/>
        </w:rPr>
        <w:t xml:space="preserve"> come Gong e Mu </w:t>
      </w:r>
      <w:proofErr w:type="spellStart"/>
      <w:r w:rsidRPr="00FC79B9">
        <w:rPr>
          <w:sz w:val="23"/>
          <w:szCs w:val="23"/>
        </w:rPr>
        <w:t>Dimsum</w:t>
      </w:r>
      <w:proofErr w:type="spellEnd"/>
      <w:r w:rsidRPr="00FC79B9">
        <w:rPr>
          <w:sz w:val="23"/>
          <w:szCs w:val="23"/>
        </w:rPr>
        <w:t xml:space="preserve"> a Milano, per</w:t>
      </w:r>
      <w:r w:rsidRPr="00FC79B9">
        <w:rPr>
          <w:b/>
          <w:bCs/>
          <w:sz w:val="23"/>
          <w:szCs w:val="23"/>
        </w:rPr>
        <w:t xml:space="preserve"> pizzerie</w:t>
      </w:r>
      <w:r w:rsidRPr="00FC79B9">
        <w:rPr>
          <w:sz w:val="23"/>
          <w:szCs w:val="23"/>
        </w:rPr>
        <w:t xml:space="preserve"> come Denis a Milano, La Piedigrotta a Varese e I Tigli a San Bonifacio nel Veronese. Poi naturalmente ci sono i migliori locali italiani, probabilmente destinati ad </w:t>
      </w:r>
      <w:r w:rsidRPr="00FC79B9">
        <w:rPr>
          <w:b/>
          <w:bCs/>
          <w:sz w:val="23"/>
          <w:szCs w:val="23"/>
        </w:rPr>
        <w:t>affari con molti zeri</w:t>
      </w:r>
      <w:r w:rsidRPr="00FC79B9">
        <w:rPr>
          <w:sz w:val="23"/>
          <w:szCs w:val="23"/>
        </w:rPr>
        <w:t>: Il Luogo di Aimo e Nadia ed Enrico Bartolini al Mudec a Milano, Enoteca Pinchiorri a Firenze, Osteria Francescana a Modena, D’O a Cornaredo, Lido 84 a Gardone Riviera e così via. Ah, naturalmente c’è anche, a pagina 99, l’Osteria degli Avvocati a Roma, in via Aurelia, non lontano da San Pietro, aperta da due laureati in Giurisprudenza convertitisi all’ospitalità, Lorenzo Giacco e Adele De Quattro.</w:t>
      </w:r>
    </w:p>
    <w:p w14:paraId="237C9686" w14:textId="6770C567" w:rsidR="00FC79B9" w:rsidRPr="00FC79B9" w:rsidRDefault="00FC79B9" w:rsidP="00FC79B9">
      <w:pPr>
        <w:spacing w:after="0" w:line="240" w:lineRule="auto"/>
        <w:jc w:val="both"/>
        <w:rPr>
          <w:sz w:val="23"/>
          <w:szCs w:val="23"/>
        </w:rPr>
      </w:pPr>
      <w:r w:rsidRPr="00FC79B9">
        <w:rPr>
          <w:b/>
          <w:bCs/>
          <w:sz w:val="23"/>
          <w:szCs w:val="23"/>
        </w:rPr>
        <w:t>Anche i legali hanno un cuore</w:t>
      </w:r>
      <w:r w:rsidR="00B976C5" w:rsidRPr="00B976C5">
        <w:rPr>
          <w:b/>
          <w:bCs/>
          <w:sz w:val="23"/>
          <w:szCs w:val="23"/>
        </w:rPr>
        <w:t xml:space="preserve">. </w:t>
      </w:r>
      <w:r w:rsidRPr="00FC79B9">
        <w:rPr>
          <w:sz w:val="23"/>
          <w:szCs w:val="23"/>
        </w:rPr>
        <w:t xml:space="preserve">Insomma, gli avvocati d’affari sono degli insospettabili buongustai, anche perché probabilmente i loro clienti non hanno problemi a pagare i non lievi conti dei ristoranti stellati. Ma hanno anche un cuore, da qualche parte. “Il cibo – spiega ancora Di Molfetta – ha un </w:t>
      </w:r>
      <w:r w:rsidRPr="00FC79B9">
        <w:rPr>
          <w:b/>
          <w:bCs/>
          <w:sz w:val="23"/>
          <w:szCs w:val="23"/>
        </w:rPr>
        <w:t>grande potere</w:t>
      </w:r>
      <w:r w:rsidRPr="00FC79B9">
        <w:rPr>
          <w:sz w:val="23"/>
          <w:szCs w:val="23"/>
        </w:rPr>
        <w:t xml:space="preserve">. Il cibo ispira, sbalordisce, eccita, nutre il corpo e soprattutto la mente. Il cibo è cultura. Il cibo connette, mette in collegamento, costruisce legami, lascia ricordi”. Tra una norma di diritto societario e una valutazione di project </w:t>
      </w:r>
      <w:proofErr w:type="spellStart"/>
      <w:r w:rsidRPr="00FC79B9">
        <w:rPr>
          <w:sz w:val="23"/>
          <w:szCs w:val="23"/>
        </w:rPr>
        <w:t>finance</w:t>
      </w:r>
      <w:proofErr w:type="spellEnd"/>
      <w:r w:rsidRPr="00FC79B9">
        <w:rPr>
          <w:sz w:val="23"/>
          <w:szCs w:val="23"/>
        </w:rPr>
        <w:t xml:space="preserve"> c’è spazio per emozionarsi davanti a un’Animella alla cannella con carote e salsa al frutto della passione (citiamo dall’attuale menu del Seta del Mandarin Oriental di Milano, inserito nella guida) e al cospetto del </w:t>
      </w:r>
      <w:r w:rsidRPr="00FC79B9">
        <w:rPr>
          <w:b/>
          <w:bCs/>
          <w:sz w:val="23"/>
          <w:szCs w:val="23"/>
        </w:rPr>
        <w:t xml:space="preserve">Cyber </w:t>
      </w:r>
      <w:proofErr w:type="spellStart"/>
      <w:r w:rsidRPr="00FC79B9">
        <w:rPr>
          <w:b/>
          <w:bCs/>
          <w:sz w:val="23"/>
          <w:szCs w:val="23"/>
        </w:rPr>
        <w:t>Eggs</w:t>
      </w:r>
      <w:proofErr w:type="spellEnd"/>
      <w:r w:rsidRPr="00FC79B9">
        <w:rPr>
          <w:sz w:val="23"/>
          <w:szCs w:val="23"/>
        </w:rPr>
        <w:t xml:space="preserve"> di Davide Scabin al Carignano di Torino (altro locale presente nel volume).</w:t>
      </w:r>
    </w:p>
    <w:p w14:paraId="7CD76838" w14:textId="33199AEE" w:rsidR="00FC79B9" w:rsidRPr="00B976C5" w:rsidRDefault="00FC79B9" w:rsidP="00FC79B9">
      <w:pPr>
        <w:spacing w:after="0" w:line="240" w:lineRule="auto"/>
        <w:jc w:val="both"/>
        <w:rPr>
          <w:sz w:val="23"/>
          <w:szCs w:val="23"/>
        </w:rPr>
      </w:pPr>
      <w:r w:rsidRPr="00FC79B9">
        <w:rPr>
          <w:b/>
          <w:bCs/>
          <w:sz w:val="23"/>
          <w:szCs w:val="23"/>
        </w:rPr>
        <w:t>Memorie dei gastronomi</w:t>
      </w:r>
      <w:r w:rsidR="00B976C5" w:rsidRPr="00B976C5">
        <w:rPr>
          <w:b/>
          <w:bCs/>
          <w:sz w:val="23"/>
          <w:szCs w:val="23"/>
        </w:rPr>
        <w:t xml:space="preserve">. </w:t>
      </w:r>
      <w:r w:rsidRPr="00FC79B9">
        <w:rPr>
          <w:sz w:val="23"/>
          <w:szCs w:val="23"/>
        </w:rPr>
        <w:t xml:space="preserve">Ma Le Tavole della Legge dà anche spazio ai racconti gastrici degli avvocati, “un carnet de </w:t>
      </w:r>
      <w:proofErr w:type="spellStart"/>
      <w:r w:rsidRPr="00FC79B9">
        <w:rPr>
          <w:sz w:val="23"/>
          <w:szCs w:val="23"/>
        </w:rPr>
        <w:t>mémoires</w:t>
      </w:r>
      <w:proofErr w:type="spellEnd"/>
      <w:r w:rsidRPr="00FC79B9">
        <w:rPr>
          <w:sz w:val="23"/>
          <w:szCs w:val="23"/>
        </w:rPr>
        <w:t xml:space="preserve"> – dice Di Molfetta – che si nutre delle esperienze di chi ci legge da anni e, come noi, trova che mangiar bene sia qualcosa che dobbiamo a noi stessi”. Ci sono quindi le testimonianze di alcuni avvocati che raccontano una loro esperienza a tavola. Come Enrico Castoldi, socio fondatore dello </w:t>
      </w:r>
      <w:proofErr w:type="spellStart"/>
      <w:r w:rsidRPr="00FC79B9">
        <w:rPr>
          <w:sz w:val="23"/>
          <w:szCs w:val="23"/>
        </w:rPr>
        <w:t>sudio</w:t>
      </w:r>
      <w:proofErr w:type="spellEnd"/>
      <w:r w:rsidRPr="00FC79B9">
        <w:rPr>
          <w:sz w:val="23"/>
          <w:szCs w:val="23"/>
        </w:rPr>
        <w:t xml:space="preserve"> franco-italiano </w:t>
      </w:r>
      <w:proofErr w:type="spellStart"/>
      <w:r w:rsidRPr="00FC79B9">
        <w:rPr>
          <w:sz w:val="23"/>
          <w:szCs w:val="23"/>
        </w:rPr>
        <w:t>CastoldiPartners</w:t>
      </w:r>
      <w:proofErr w:type="spellEnd"/>
      <w:r w:rsidRPr="00FC79B9">
        <w:rPr>
          <w:sz w:val="23"/>
          <w:szCs w:val="23"/>
        </w:rPr>
        <w:t xml:space="preserve">, che elegge a suo luogo culto </w:t>
      </w:r>
      <w:proofErr w:type="spellStart"/>
      <w:r w:rsidRPr="00FC79B9">
        <w:rPr>
          <w:b/>
          <w:bCs/>
          <w:sz w:val="23"/>
          <w:szCs w:val="23"/>
        </w:rPr>
        <w:t>Langosteria</w:t>
      </w:r>
      <w:proofErr w:type="spellEnd"/>
      <w:r w:rsidRPr="00FC79B9">
        <w:rPr>
          <w:b/>
          <w:bCs/>
          <w:sz w:val="23"/>
          <w:szCs w:val="23"/>
        </w:rPr>
        <w:t xml:space="preserve"> Bistrot</w:t>
      </w:r>
      <w:r w:rsidRPr="00FC79B9">
        <w:rPr>
          <w:sz w:val="23"/>
          <w:szCs w:val="23"/>
        </w:rPr>
        <w:t xml:space="preserve"> di Milano: “Il </w:t>
      </w:r>
      <w:proofErr w:type="spellStart"/>
      <w:r w:rsidRPr="00FC79B9">
        <w:rPr>
          <w:sz w:val="23"/>
          <w:szCs w:val="23"/>
        </w:rPr>
        <w:t>patròn</w:t>
      </w:r>
      <w:proofErr w:type="spellEnd"/>
      <w:r w:rsidRPr="00FC79B9">
        <w:rPr>
          <w:sz w:val="23"/>
          <w:szCs w:val="23"/>
        </w:rPr>
        <w:t xml:space="preserve"> di </w:t>
      </w:r>
      <w:proofErr w:type="spellStart"/>
      <w:r w:rsidRPr="00FC79B9">
        <w:rPr>
          <w:sz w:val="23"/>
          <w:szCs w:val="23"/>
        </w:rPr>
        <w:t>Langosteria</w:t>
      </w:r>
      <w:proofErr w:type="spellEnd"/>
      <w:r w:rsidRPr="00FC79B9">
        <w:rPr>
          <w:sz w:val="23"/>
          <w:szCs w:val="23"/>
        </w:rPr>
        <w:t xml:space="preserve"> si chiama Enrico come me (Buonocore, </w:t>
      </w:r>
      <w:proofErr w:type="spellStart"/>
      <w:r w:rsidRPr="00FC79B9">
        <w:rPr>
          <w:sz w:val="23"/>
          <w:szCs w:val="23"/>
        </w:rPr>
        <w:t>ndr</w:t>
      </w:r>
      <w:proofErr w:type="spellEnd"/>
      <w:r w:rsidRPr="00FC79B9">
        <w:rPr>
          <w:sz w:val="23"/>
          <w:szCs w:val="23"/>
        </w:rPr>
        <w:t xml:space="preserve">). Ha cominciato in via Savona dove anche io, quando da Parigi ho aperto Milano, ho scelto di stabilire l’ufficio. Entrambi, dopo tutti questi anni, </w:t>
      </w:r>
      <w:r w:rsidRPr="00FC79B9">
        <w:rPr>
          <w:b/>
          <w:bCs/>
          <w:sz w:val="23"/>
          <w:szCs w:val="23"/>
        </w:rPr>
        <w:t>siamo rimasti legati a questa zona della città</w:t>
      </w:r>
      <w:r w:rsidRPr="00FC79B9">
        <w:rPr>
          <w:sz w:val="23"/>
          <w:szCs w:val="23"/>
        </w:rPr>
        <w:t xml:space="preserve"> pur avendo costruito molto”. E poi “in questo ristorante si fa cucina di mare che è un tipo di cucina che non richiede particolari interventi. Se la materia prima è di qualità il piatto, cucinato con rispetto e sapienza, sarà eccellente”. La seduta è tolta, ma solo dopo il caffè e l’ammazzacaffè.</w:t>
      </w:r>
      <w:r w:rsidR="00B976C5" w:rsidRPr="00B976C5">
        <w:rPr>
          <w:sz w:val="23"/>
          <w:szCs w:val="23"/>
        </w:rPr>
        <w:t xml:space="preserve"> </w:t>
      </w:r>
      <w:r w:rsidRPr="00FC79B9">
        <w:rPr>
          <w:i/>
          <w:iCs/>
          <w:sz w:val="23"/>
          <w:szCs w:val="23"/>
        </w:rPr>
        <w:t>Il volume è acquistabile sul sito di LC Publishing Group e in alcune librerie di Milano al prezzo di 12,90 euro.</w:t>
      </w:r>
      <w:r w:rsidR="00B976C5" w:rsidRPr="00B976C5">
        <w:rPr>
          <w:i/>
          <w:iCs/>
          <w:sz w:val="23"/>
          <w:szCs w:val="23"/>
        </w:rPr>
        <w:t xml:space="preserve"> </w:t>
      </w:r>
      <w:hyperlink r:id="rId7" w:history="1">
        <w:r w:rsidRPr="00B976C5">
          <w:rPr>
            <w:rStyle w:val="Collegamentoipertestuale"/>
            <w:sz w:val="23"/>
            <w:szCs w:val="23"/>
          </w:rPr>
          <w:t>https://www.gamberorosso.it/attualita/guida-ristoranti-avvocati/</w:t>
        </w:r>
      </w:hyperlink>
      <w:r w:rsidRPr="00B976C5">
        <w:rPr>
          <w:sz w:val="23"/>
          <w:szCs w:val="23"/>
        </w:rPr>
        <w:t xml:space="preserve">. </w:t>
      </w:r>
    </w:p>
    <w:sectPr w:rsidR="00FC79B9" w:rsidRPr="00B976C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615"/>
    <w:multiLevelType w:val="multilevel"/>
    <w:tmpl w:val="C0E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30362"/>
    <w:multiLevelType w:val="multilevel"/>
    <w:tmpl w:val="F4C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512763">
    <w:abstractNumId w:val="0"/>
  </w:num>
  <w:num w:numId="2" w16cid:durableId="54895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3839"/>
    <w:rsid w:val="0031062F"/>
    <w:rsid w:val="003605E3"/>
    <w:rsid w:val="00375F4B"/>
    <w:rsid w:val="003811E4"/>
    <w:rsid w:val="00653982"/>
    <w:rsid w:val="00A93839"/>
    <w:rsid w:val="00B976C5"/>
    <w:rsid w:val="00C71CAA"/>
    <w:rsid w:val="00D544E6"/>
    <w:rsid w:val="00E46845"/>
    <w:rsid w:val="00E84EF4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2026"/>
  <w15:chartTrackingRefBased/>
  <w15:docId w15:val="{9D340BF8-54F5-4BC5-AC72-5634EAB7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9B9"/>
  </w:style>
  <w:style w:type="paragraph" w:styleId="Titolo1">
    <w:name w:val="heading 1"/>
    <w:basedOn w:val="Normale"/>
    <w:next w:val="Normale"/>
    <w:link w:val="Titolo1Carattere"/>
    <w:uiPriority w:val="9"/>
    <w:qFormat/>
    <w:rsid w:val="00A9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38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38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38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38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38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383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383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38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38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38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38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38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38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38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38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383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38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383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383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C79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mberorosso.it/attualita/guida-ristoranti-avvoca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berorosso.it/autori/andrea-cuom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2025-10-17T15:28:00Z</dcterms:created>
  <dcterms:modified xsi:type="dcterms:W3CDTF">2025-10-17T15:40:00Z</dcterms:modified>
</cp:coreProperties>
</file>